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jc w:val="center"/>
        <w:rPr>
          <w:rFonts w:ascii="Times New Roman" w:eastAsia="宋体" w:cs="Times New Roman"/>
          <w:b/>
          <w:bCs/>
          <w:color w:val="auto"/>
          <w:sz w:val="84"/>
          <w:szCs w:val="84"/>
        </w:rPr>
      </w:pPr>
      <w:r/>
      <w:bookmarkStart w:id="0" w:name="_Toc383623672"/>
      <w:r/>
      <w:bookmarkStart w:id="1" w:name="_Toc383587456"/>
      <w:r/>
      <w:bookmarkStart w:id="2" w:name="_Toc383623944"/>
      <w:r/>
      <w:bookmarkStart w:id="3" w:name="_Toc383679746"/>
      <w:r/>
      <w:bookmarkStart w:id="4" w:name="_Toc390098840"/>
      <w:r/>
      <w:bookmarkStart w:id="5" w:name="_Toc390099018"/>
      <w:r/>
      <w:bookmarkStart w:id="6" w:name="_Toc383625993"/>
      <w:r/>
      <w:bookmarkStart w:id="7" w:name="_Toc390246905"/>
      <w:r/>
      <w:bookmarkStart w:id="8" w:name="_Toc426469868"/>
      <w:r/>
      <w:bookmarkStart w:id="9" w:name="_Toc383698647"/>
      <w:r/>
      <w:r/>
    </w:p>
    <w:p>
      <w:pPr>
        <w:pStyle w:val="716"/>
        <w:jc w:val="center"/>
        <w:rPr>
          <w:rFonts w:ascii="Times New Roman" w:eastAsia="宋体" w:cs="Times New Roman"/>
          <w:b/>
          <w:bCs/>
          <w:color w:val="auto"/>
          <w:sz w:val="84"/>
          <w:szCs w:val="84"/>
        </w:rPr>
      </w:pPr>
      <w:r>
        <w:rPr>
          <w:rFonts w:ascii="Times New Roman" w:eastAsia="宋体" w:cs="Times New Roman"/>
          <w:b/>
          <w:bCs/>
          <w:color w:val="auto"/>
          <w:sz w:val="84"/>
          <w:szCs w:val="84"/>
        </w:rPr>
        <w:t xml:space="preserve">招　标　文　件</w:t>
      </w:r>
      <w:r/>
    </w:p>
    <w:p>
      <w:pPr>
        <w:pStyle w:val="716"/>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716"/>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716"/>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rPr>
          <w:rFonts w:ascii="Times New Roman" w:eastAsia="宋体" w:cs="Times New Roman"/>
          <w:b/>
          <w:bCs/>
          <w:color w:val="auto"/>
          <w:sz w:val="32"/>
          <w:szCs w:val="32"/>
        </w:rPr>
      </w:r>
    </w:p>
    <w:p>
      <w:pPr>
        <w:pStyle w:val="716"/>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716"/>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ind w:firstLine="1205"/>
        <w:jc w:val="left"/>
        <w:widowControl/>
        <w:rPr>
          <w:b/>
          <w:bCs/>
          <w:sz w:val="30"/>
          <w:szCs w:val="30"/>
        </w:rPr>
      </w:pPr>
      <w:r>
        <w:rPr>
          <w:b/>
          <w:bCs/>
          <w:sz w:val="30"/>
          <w:szCs w:val="30"/>
        </w:rPr>
        <w:t xml:space="preserve">项目名称</w:t>
      </w:r>
      <w:r>
        <w:rPr>
          <w:sz w:val="30"/>
          <w:szCs w:val="30"/>
        </w:rPr>
        <w:t xml:space="preserve">：</w:t>
      </w:r>
      <w:r>
        <w:rPr>
          <w:rFonts w:hint="eastAsia"/>
          <w:b/>
          <w:bCs/>
          <w:sz w:val="30"/>
          <w:szCs w:val="30"/>
        </w:rPr>
        <w:t xml:space="preserve">泰兴市区域性农业综合服务中心建设项目</w:t>
      </w:r>
      <w:r/>
    </w:p>
    <w:p>
      <w:pPr>
        <w:pStyle w:val="725"/>
        <w:rPr>
          <w:sz w:val="30"/>
          <w:szCs w:val="30"/>
        </w:rPr>
      </w:pPr>
      <w:r>
        <w:rPr>
          <w:sz w:val="30"/>
          <w:szCs w:val="30"/>
        </w:rPr>
      </w:r>
      <w:r/>
    </w:p>
    <w:p>
      <w:pPr>
        <w:ind w:firstLine="1205"/>
        <w:widowControl/>
        <w:rPr>
          <w:b/>
          <w:bCs/>
          <w:sz w:val="30"/>
          <w:szCs w:val="30"/>
        </w:rPr>
      </w:pPr>
      <w:r>
        <w:rPr>
          <w:b/>
          <w:bCs/>
          <w:sz w:val="30"/>
          <w:szCs w:val="30"/>
        </w:rPr>
        <w:t xml:space="preserve">项目编号：</w:t>
      </w:r>
      <w:r>
        <w:rPr>
          <w:b/>
          <w:bCs/>
          <w:sz w:val="30"/>
          <w:szCs w:val="30"/>
        </w:rPr>
        <w:t xml:space="preserve">JSZC-321283-RTZX-G2026-0007</w:t>
      </w:r>
      <w:r/>
    </w:p>
    <w:p>
      <w:pPr>
        <w:pStyle w:val="716"/>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716"/>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716"/>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716"/>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716"/>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rPr>
          <w:rFonts w:ascii="宋体" w:hAnsi="宋体" w:cs="宋体"/>
          <w:sz w:val="36"/>
          <w:szCs w:val="36"/>
        </w:rPr>
      </w:r>
    </w:p>
    <w:p>
      <w:pPr>
        <w:ind w:firstLine="540"/>
        <w:rPr>
          <w:rFonts w:ascii="宋体" w:hAnsi="宋体" w:cs="宋体"/>
          <w:sz w:val="36"/>
          <w:szCs w:val="36"/>
        </w:rPr>
      </w:pPr>
      <w:r>
        <w:rPr>
          <w:rFonts w:ascii="宋体" w:hAnsi="宋体" w:cs="宋体"/>
          <w:sz w:val="36"/>
          <w:szCs w:val="36"/>
        </w:rPr>
      </w:r>
      <w:r>
        <w:rPr>
          <w:rFonts w:ascii="宋体" w:hAnsi="宋体" w:cs="宋体"/>
          <w:sz w:val="36"/>
          <w:szCs w:val="36"/>
        </w:rPr>
      </w:r>
    </w:p>
    <w:p>
      <w:pPr>
        <w:ind w:firstLine="540"/>
        <w:rPr>
          <w:rFonts w:ascii="宋体" w:hAnsi="宋体" w:cs="宋体"/>
          <w:sz w:val="36"/>
          <w:szCs w:val="36"/>
        </w:rPr>
      </w:pPr>
      <w:r>
        <w:rPr>
          <w:rFonts w:ascii="宋体" w:hAnsi="宋体" w:cs="宋体"/>
          <w:sz w:val="36"/>
          <w:szCs w:val="36"/>
        </w:rPr>
      </w:r>
      <w:r>
        <w:rPr>
          <w:rFonts w:ascii="宋体" w:hAnsi="宋体" w:cs="宋体"/>
          <w:sz w:val="36"/>
          <w:szCs w:val="36"/>
        </w:rP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pStyle w:val="769"/>
        <w:ind w:firstLine="0"/>
        <w:jc w:val="center"/>
        <w:spacing w:before="0" w:after="0" w:line="600" w:lineRule="exact"/>
        <w:rPr>
          <w:rFonts w:ascii="宋体" w:hAnsi="宋体" w:cs="宋体"/>
          <w:b/>
          <w:bCs/>
          <w:sz w:val="36"/>
          <w:szCs w:val="36"/>
        </w:rPr>
      </w:pPr>
      <w:r/>
      <w:bookmarkStart w:id="10" w:name="OLE_LINK46"/>
      <w:r/>
      <w:bookmarkStart w:id="11" w:name="OLE_LINK50"/>
      <w:r>
        <w:rPr>
          <w:rFonts w:hint="eastAsia" w:ascii="宋体" w:hAnsi="宋体" w:cs="宋体"/>
          <w:b/>
          <w:bCs/>
          <w:sz w:val="36"/>
          <w:szCs w:val="36"/>
        </w:rPr>
        <w:t xml:space="preserve">泰兴市农业技术推广中心</w:t>
      </w:r>
      <w:bookmarkEnd w:id="10"/>
      <w:r/>
      <w:bookmarkEnd w:id="11"/>
      <w:r/>
      <w:r/>
    </w:p>
    <w:p>
      <w:pPr>
        <w:pStyle w:val="769"/>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江苏润泰工程项目管理咨询有限公司</w:t>
      </w:r>
      <w:r/>
    </w:p>
    <w:p>
      <w:pPr>
        <w:pStyle w:val="769"/>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二○二六年三月</w:t>
      </w:r>
      <w:r/>
    </w:p>
    <w:p>
      <w:pPr>
        <w:ind w:firstLine="723"/>
        <w:jc w:val="center"/>
        <w:spacing w:line="500" w:lineRule="exact"/>
        <w:rPr>
          <w:rFonts w:ascii="宋体" w:hAnsi="宋体" w:cs="宋体"/>
          <w:b/>
          <w:bCs/>
          <w:sz w:val="36"/>
          <w:szCs w:val="36"/>
        </w:rPr>
      </w:pPr>
      <w:r>
        <w:rPr>
          <w:rFonts w:ascii="宋体" w:hAnsi="宋体" w:cs="宋体"/>
          <w:b/>
          <w:bCs/>
          <w:sz w:val="36"/>
          <w:szCs w:val="36"/>
        </w:rPr>
      </w:r>
      <w:r/>
    </w:p>
    <w:p>
      <w:pPr>
        <w:ind w:firstLine="723"/>
        <w:jc w:val="center"/>
        <w:spacing w:line="500" w:lineRule="exact"/>
        <w:rPr>
          <w:rFonts w:asciiTheme="majorEastAsia" w:hAnsiTheme="majorEastAsia" w:eastAsiaTheme="majorEastAsia"/>
          <w:sz w:val="28"/>
          <w:szCs w:val="28"/>
        </w:rPr>
      </w:pPr>
      <w:r>
        <w:rPr>
          <w:rFonts w:hint="eastAsia" w:ascii="宋体" w:hAnsi="宋体" w:cs="宋体"/>
          <w:b/>
          <w:bCs/>
          <w:sz w:val="36"/>
          <w:szCs w:val="36"/>
        </w:rPr>
        <w:t xml:space="preserve">第一章</w:t>
      </w:r>
      <w:bookmarkStart w:id="12" w:name="OLE_LINK126"/>
      <w:r/>
      <w:bookmarkEnd w:id="0"/>
      <w:r/>
      <w:bookmarkEnd w:id="1"/>
      <w:r/>
      <w:bookmarkEnd w:id="2"/>
      <w:r/>
      <w:bookmarkEnd w:id="3"/>
      <w:r/>
      <w:bookmarkEnd w:id="4"/>
      <w:r/>
      <w:bookmarkEnd w:id="5"/>
      <w:r/>
      <w:bookmarkEnd w:id="6"/>
      <w:r/>
      <w:bookmarkEnd w:id="7"/>
      <w:r/>
      <w:bookmarkEnd w:id="8"/>
      <w:r/>
      <w:bookmarkEnd w:id="9"/>
      <w:r>
        <w:rPr>
          <w:rFonts w:hint="eastAsia" w:ascii="宋体" w:hAnsi="宋体" w:cs="宋体"/>
          <w:b/>
          <w:bCs/>
          <w:sz w:val="36"/>
          <w:szCs w:val="36"/>
        </w:rPr>
        <w:t xml:space="preserve"> </w:t>
      </w:r>
      <w:r>
        <w:rPr>
          <w:rFonts w:ascii="宋体" w:hAnsi="宋体" w:cs="宋体"/>
          <w:b/>
          <w:bCs/>
          <w:sz w:val="36"/>
          <w:szCs w:val="36"/>
        </w:rPr>
        <w:t xml:space="preserve"> </w:t>
      </w:r>
      <w:r>
        <w:rPr>
          <w:rFonts w:hint="eastAsia" w:ascii="宋体" w:hAnsi="宋体" w:cs="宋体"/>
          <w:b/>
          <w:bCs/>
          <w:sz w:val="36"/>
          <w:szCs w:val="36"/>
        </w:rPr>
        <w:t xml:space="preserve">招标公告</w:t>
      </w:r>
      <w:r/>
    </w:p>
    <w:tbl>
      <w:tblPr>
        <w:tblStyle w:val="738"/>
        <w:tblW w:w="0" w:type="auto"/>
        <w:tblInd w:w="143" w:type="dxa"/>
        <w:tblLook w:val="04A0" w:firstRow="1" w:lastRow="0" w:firstColumn="1" w:lastColumn="0" w:noHBand="0" w:noVBand="1"/>
      </w:tblPr>
      <w:tblGrid>
        <w:gridCol w:w="8719"/>
      </w:tblGrid>
      <w:tr>
        <w:trPr>
          <w:trHeight w:val="1384"/>
        </w:trPr>
        <w:tc>
          <w:tcPr>
            <w:tcW w:w="10200" w:type="dxa"/>
            <w:textDirection w:val="lrTb"/>
            <w:noWrap w:val="false"/>
          </w:tcPr>
          <w:p>
            <w:pPr>
              <w:jc w:val="left"/>
              <w:spacing w:line="500" w:lineRule="exact"/>
              <w:rPr>
                <w:rFonts w:ascii="宋体" w:hAnsi="宋体" w:cs="宋体"/>
                <w:sz w:val="28"/>
                <w:szCs w:val="28"/>
              </w:rPr>
            </w:pPr>
            <w:r>
              <w:rPr>
                <w:rFonts w:hint="eastAsia" w:ascii="宋体" w:hAnsi="宋体" w:cs="宋体"/>
                <w:sz w:val="28"/>
                <w:szCs w:val="28"/>
              </w:rPr>
              <w:t xml:space="preserve">项目概况</w:t>
            </w:r>
            <w:r/>
          </w:p>
          <w:p>
            <w:pPr>
              <w:ind w:firstLine="560"/>
              <w:jc w:val="left"/>
              <w:spacing w:line="500" w:lineRule="exact"/>
              <w:rPr>
                <w:rFonts w:ascii="宋体" w:hAnsi="宋体" w:cs="宋体"/>
                <w:b/>
                <w:bCs/>
                <w:sz w:val="28"/>
                <w:szCs w:val="28"/>
              </w:rPr>
            </w:pPr>
            <w:r>
              <w:rPr>
                <w:rFonts w:hint="eastAsia" w:ascii="宋体" w:hAnsi="宋体" w:cs="宋体"/>
                <w:sz w:val="28"/>
                <w:szCs w:val="28"/>
                <w:u w:val="single"/>
              </w:rPr>
              <w:t xml:space="preserve">泰兴市区域性农业综合服务中心建设</w:t>
            </w:r>
            <w:r>
              <w:rPr>
                <w:rFonts w:hint="eastAsia" w:ascii="宋体" w:hAnsi="宋体" w:cs="宋体"/>
                <w:sz w:val="28"/>
                <w:szCs w:val="28"/>
              </w:rPr>
              <w:t xml:space="preserve">招标项目的潜在投标人应在苏采云获取招标文件，并于</w:t>
            </w:r>
            <w:bookmarkStart w:id="13" w:name="OLE_LINK6"/>
            <w:r/>
            <w:bookmarkStart w:id="14" w:name="OLE_LINK5"/>
            <w:r>
              <w:rPr>
                <w:rFonts w:hint="eastAsia" w:ascii="宋体" w:hAnsi="宋体" w:cs="宋体"/>
                <w:sz w:val="28"/>
                <w:szCs w:val="28"/>
                <w:u w:val="single"/>
              </w:rPr>
              <w:t xml:space="preserve">2026-</w:t>
            </w:r>
            <w:r>
              <w:rPr>
                <w:rFonts w:ascii="宋体" w:hAnsi="宋体" w:cs="宋体"/>
                <w:sz w:val="28"/>
                <w:szCs w:val="28"/>
                <w:u w:val="single"/>
              </w:rPr>
              <w:t xml:space="preserve">5</w:t>
            </w:r>
            <w:r>
              <w:rPr>
                <w:rFonts w:hint="eastAsia" w:ascii="宋体" w:hAnsi="宋体" w:cs="宋体"/>
                <w:sz w:val="28"/>
                <w:szCs w:val="28"/>
                <w:u w:val="single"/>
              </w:rPr>
              <w:t xml:space="preserve">-</w:t>
            </w:r>
            <w:r>
              <w:rPr>
                <w:rFonts w:ascii="宋体" w:hAnsi="宋体" w:cs="宋体"/>
                <w:sz w:val="28"/>
                <w:szCs w:val="28"/>
                <w:u w:val="single"/>
              </w:rPr>
              <w:t xml:space="preserve">12</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9</w:t>
            </w:r>
            <w:r>
              <w:rPr>
                <w:rFonts w:hint="eastAsia" w:ascii="宋体" w:hAnsi="宋体" w:cs="宋体"/>
                <w:sz w:val="28"/>
                <w:szCs w:val="28"/>
                <w:u w:val="single"/>
              </w:rPr>
              <w:t xml:space="preserve">:</w:t>
            </w:r>
            <w:r>
              <w:rPr>
                <w:rFonts w:ascii="宋体" w:hAnsi="宋体" w:cs="宋体"/>
                <w:sz w:val="28"/>
                <w:szCs w:val="28"/>
                <w:u w:val="single"/>
              </w:rPr>
              <w:t xml:space="preserve">0</w:t>
            </w:r>
            <w:r>
              <w:rPr>
                <w:rFonts w:hint="eastAsia" w:ascii="宋体" w:hAnsi="宋体" w:cs="宋体"/>
                <w:sz w:val="28"/>
                <w:szCs w:val="28"/>
                <w:u w:val="single"/>
              </w:rPr>
              <w:t xml:space="preserve">0</w:t>
            </w:r>
            <w:bookmarkEnd w:id="13"/>
            <w:r/>
            <w:bookmarkEnd w:id="14"/>
            <w:r>
              <w:rPr>
                <w:rFonts w:hint="eastAsia" w:ascii="宋体" w:hAnsi="宋体" w:cs="宋体"/>
                <w:sz w:val="28"/>
                <w:szCs w:val="28"/>
              </w:rPr>
              <w:t xml:space="preserve">（北京时间）前递交投标文件。</w:t>
            </w:r>
            <w:r/>
          </w:p>
        </w:tc>
      </w:tr>
    </w:tbl>
    <w:p>
      <w:pPr>
        <w:spacing w:line="540" w:lineRule="exact"/>
        <w:rPr>
          <w:rFonts w:ascii="宋体" w:hAnsi="宋体" w:cs="宋体"/>
          <w:b/>
          <w:sz w:val="28"/>
          <w:szCs w:val="28"/>
        </w:rPr>
      </w:pPr>
      <w:r>
        <w:rPr>
          <w:rFonts w:hint="eastAsia" w:ascii="宋体" w:hAnsi="宋体" w:cs="宋体"/>
          <w:b/>
          <w:sz w:val="28"/>
          <w:szCs w:val="28"/>
        </w:rPr>
        <w:t xml:space="preserve">一、项目基本情况</w:t>
      </w:r>
      <w:r/>
    </w:p>
    <w:p>
      <w:pPr>
        <w:ind w:firstLine="560"/>
        <w:spacing w:line="540" w:lineRule="exact"/>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JSZC-321283-RTZX-G2026-0007</w:t>
      </w:r>
      <w:r/>
    </w:p>
    <w:p>
      <w:pPr>
        <w:ind w:firstLine="560"/>
        <w:spacing w:line="540" w:lineRule="exact"/>
        <w:rPr>
          <w:rFonts w:ascii="宋体" w:hAnsi="宋体" w:cs="宋体"/>
          <w:sz w:val="28"/>
          <w:szCs w:val="28"/>
        </w:rPr>
      </w:pPr>
      <w:r>
        <w:rPr>
          <w:rFonts w:hint="eastAsia" w:ascii="宋体" w:hAnsi="宋体" w:cs="宋体"/>
          <w:sz w:val="28"/>
          <w:szCs w:val="28"/>
        </w:rPr>
        <w:t xml:space="preserve">项目名称：</w:t>
      </w:r>
      <w:bookmarkStart w:id="15" w:name="OLE_LINK21"/>
      <w:r/>
      <w:bookmarkStart w:id="16" w:name="OLE_LINK44"/>
      <w:r/>
      <w:bookmarkStart w:id="17" w:name="OLE_LINK45"/>
      <w:r>
        <w:rPr>
          <w:rFonts w:hint="eastAsia" w:ascii="宋体" w:hAnsi="宋体" w:cs="宋体"/>
          <w:sz w:val="28"/>
          <w:szCs w:val="28"/>
        </w:rPr>
        <w:t xml:space="preserve">泰兴市区域性农业综合服务中心建设项目</w:t>
      </w:r>
      <w:bookmarkEnd w:id="15"/>
      <w:r/>
      <w:bookmarkEnd w:id="16"/>
      <w:r/>
      <w:bookmarkEnd w:id="17"/>
      <w:r/>
      <w:r/>
    </w:p>
    <w:p>
      <w:pPr>
        <w:ind w:firstLine="560"/>
        <w:spacing w:line="540" w:lineRule="exact"/>
        <w:rPr>
          <w:rFonts w:ascii="宋体" w:hAnsi="宋体" w:cs="宋体"/>
          <w:sz w:val="28"/>
          <w:szCs w:val="28"/>
        </w:rPr>
      </w:pPr>
      <w:r/>
      <w:bookmarkStart w:id="18" w:name="OLE_LINK1"/>
      <w:r/>
      <w:bookmarkStart w:id="19" w:name="OLE_LINK3"/>
      <w:r>
        <w:rPr>
          <w:rFonts w:hint="eastAsia" w:ascii="宋体" w:hAnsi="宋体" w:cs="宋体"/>
          <w:sz w:val="28"/>
          <w:szCs w:val="28"/>
        </w:rPr>
        <w:t xml:space="preserve">预算金额：620万元</w:t>
      </w:r>
      <w:r/>
    </w:p>
    <w:p>
      <w:pPr>
        <w:ind w:firstLine="560"/>
        <w:spacing w:line="540" w:lineRule="exact"/>
        <w:rPr>
          <w:rFonts w:ascii="宋体" w:hAnsi="宋体" w:cs="宋体"/>
          <w:sz w:val="28"/>
          <w:szCs w:val="28"/>
        </w:rPr>
      </w:pPr>
      <w:r>
        <w:rPr>
          <w:rFonts w:hint="eastAsia" w:ascii="宋体" w:hAnsi="宋体" w:cs="宋体"/>
          <w:sz w:val="28"/>
          <w:szCs w:val="28"/>
        </w:rPr>
        <w:t xml:space="preserve">最高限价：</w:t>
      </w:r>
      <w:bookmarkStart w:id="20" w:name="OLE_LINK105"/>
      <w:r/>
      <w:bookmarkStart w:id="21" w:name="OLE_LINK104"/>
      <w:r>
        <w:rPr>
          <w:rFonts w:hint="eastAsia" w:ascii="宋体" w:hAnsi="宋体" w:cs="宋体"/>
          <w:sz w:val="28"/>
          <w:szCs w:val="28"/>
        </w:rPr>
        <w:t xml:space="preserve">620万元，投标报价不得超过采购预算价，否则作无效标处理。</w:t>
      </w:r>
      <w:bookmarkEnd w:id="18"/>
      <w:r/>
      <w:bookmarkEnd w:id="19"/>
      <w:r/>
      <w:bookmarkEnd w:id="20"/>
      <w:r/>
      <w:bookmarkEnd w:id="21"/>
      <w:r/>
      <w:r/>
    </w:p>
    <w:p>
      <w:pPr>
        <w:ind w:firstLine="560"/>
        <w:spacing w:line="540" w:lineRule="exact"/>
        <w:rPr>
          <w:rFonts w:ascii="宋体" w:hAnsi="宋体" w:cs="宋体"/>
          <w:sz w:val="28"/>
          <w:szCs w:val="28"/>
        </w:rPr>
      </w:pPr>
      <w:r>
        <w:rPr>
          <w:rFonts w:hint="eastAsia" w:ascii="宋体" w:hAnsi="宋体" w:cs="宋体"/>
          <w:sz w:val="28"/>
          <w:szCs w:val="28"/>
        </w:rPr>
        <w:t xml:space="preserve">采购方式：公开招标</w:t>
      </w:r>
      <w:r/>
    </w:p>
    <w:p>
      <w:pPr>
        <w:ind w:firstLine="560"/>
        <w:spacing w:line="540" w:lineRule="exact"/>
        <w:rPr>
          <w:rFonts w:ascii="宋体" w:hAnsi="宋体" w:cs="宋体"/>
          <w:sz w:val="28"/>
          <w:szCs w:val="28"/>
        </w:rPr>
      </w:pPr>
      <w:r>
        <w:rPr>
          <w:rFonts w:hint="eastAsia" w:ascii="宋体" w:hAnsi="宋体" w:cs="宋体"/>
          <w:sz w:val="28"/>
          <w:szCs w:val="28"/>
        </w:rPr>
        <w:t xml:space="preserve">采购需求：</w:t>
      </w:r>
      <w:bookmarkStart w:id="22" w:name="OLE_LINK10"/>
      <w:r/>
      <w:bookmarkStart w:id="23" w:name="OLE_LINK101"/>
      <w:r/>
      <w:bookmarkStart w:id="24" w:name="OLE_LINK9"/>
      <w:r/>
      <w:bookmarkStart w:id="25" w:name="OLE_LINK139"/>
      <w:r/>
      <w:bookmarkStart w:id="26" w:name="OLE_LINK53"/>
      <w:r>
        <w:rPr>
          <w:rFonts w:hint="eastAsia" w:ascii="宋体" w:hAnsi="宋体" w:cs="宋体"/>
          <w:sz w:val="28"/>
          <w:szCs w:val="28"/>
        </w:rPr>
        <w:t xml:space="preserve">土壤监测站、农业小环境气象监测站、农情、苗情监测站、病虫害自动监测站、病害自动监测、自动赶蛾统计、害虫性诱智能测报仪、显示屏、小虫体智能测报灯、农业病虫害AR智能测报仪、农业遥感无人机、5G智能无人巡田眼、植物冠层分析仪、农产品快检设备、害虫性诱智能测报仪、病虫害物联网数据分析系统、无人机智能巡田飞控分析软件服务、水稻、小麦模型算法及生产处方、智能灌溉算法等建设、开发、采购、安装、调试、人员培训、售后服务等。具体内容详见招标文件。</w:t>
      </w:r>
      <w:bookmarkEnd w:id="22"/>
      <w:r/>
      <w:bookmarkEnd w:id="23"/>
      <w:r/>
      <w:bookmarkEnd w:id="24"/>
      <w:r/>
      <w:bookmarkEnd w:id="25"/>
      <w:r/>
      <w:bookmarkEnd w:id="26"/>
      <w:r/>
      <w:r/>
    </w:p>
    <w:p>
      <w:pPr>
        <w:ind w:firstLine="560"/>
        <w:spacing w:line="540" w:lineRule="exact"/>
        <w:rPr>
          <w:rFonts w:ascii="宋体" w:hAnsi="宋体" w:cs="宋体"/>
          <w:sz w:val="28"/>
          <w:szCs w:val="28"/>
        </w:rPr>
      </w:pPr>
      <w:r>
        <w:rPr>
          <w:rFonts w:hint="eastAsia" w:ascii="宋体" w:hAnsi="宋体" w:cs="宋体"/>
          <w:sz w:val="28"/>
          <w:szCs w:val="28"/>
        </w:rPr>
        <w:t xml:space="preserve">合同履行期限：</w:t>
      </w:r>
      <w:bookmarkStart w:id="27" w:name="OLE_LINK134"/>
      <w:r/>
      <w:bookmarkStart w:id="28" w:name="OLE_LINK133"/>
      <w:r/>
      <w:bookmarkStart w:id="29" w:name="OLE_LINK54"/>
      <w:r/>
      <w:bookmarkStart w:id="30" w:name="OLE_LINK107"/>
      <w:r/>
      <w:bookmarkStart w:id="31" w:name="OLE_LINK106"/>
      <w:r>
        <w:rPr>
          <w:rFonts w:hint="eastAsia" w:ascii="宋体" w:hAnsi="宋体" w:cs="宋体"/>
          <w:sz w:val="28"/>
          <w:szCs w:val="28"/>
        </w:rPr>
        <w:t xml:space="preserve">合同签订后40日历天交付使用。</w:t>
      </w:r>
      <w:bookmarkEnd w:id="27"/>
      <w:r/>
      <w:bookmarkEnd w:id="28"/>
      <w:r/>
      <w:bookmarkEnd w:id="29"/>
      <w:r/>
      <w:bookmarkEnd w:id="30"/>
      <w:bookmarkEnd w:id="31"/>
      <w:r/>
    </w:p>
    <w:p>
      <w:pPr>
        <w:ind w:firstLine="560"/>
        <w:spacing w:line="540" w:lineRule="exact"/>
        <w:rPr>
          <w:rFonts w:ascii="宋体" w:hAnsi="宋体" w:cs="宋体"/>
          <w:sz w:val="28"/>
          <w:szCs w:val="28"/>
        </w:rPr>
      </w:pPr>
      <w:r>
        <w:rPr>
          <w:rFonts w:hint="eastAsia" w:ascii="宋体" w:hAnsi="宋体" w:cs="宋体"/>
          <w:sz w:val="28"/>
          <w:szCs w:val="28"/>
        </w:rPr>
        <w:t xml:space="preserve">本项目（是/否）接受联合体投标：不接受。</w:t>
      </w:r>
      <w:r/>
    </w:p>
    <w:p>
      <w:pPr>
        <w:spacing w:line="540" w:lineRule="exact"/>
        <w:rPr>
          <w:rFonts w:ascii="宋体" w:hAnsi="宋体" w:cs="宋体"/>
          <w:b/>
          <w:sz w:val="28"/>
          <w:szCs w:val="28"/>
        </w:rPr>
      </w:pPr>
      <w:r/>
      <w:bookmarkStart w:id="32" w:name="_Toc28359080"/>
      <w:r/>
      <w:bookmarkStart w:id="33" w:name="_Toc35393622"/>
      <w:r/>
      <w:bookmarkStart w:id="34" w:name="_Toc28359003"/>
      <w:r/>
      <w:bookmarkStart w:id="35" w:name="_Toc35393791"/>
      <w:r>
        <w:rPr>
          <w:rFonts w:hint="eastAsia" w:ascii="宋体" w:hAnsi="宋体" w:cs="宋体"/>
          <w:b/>
          <w:sz w:val="28"/>
          <w:szCs w:val="28"/>
        </w:rPr>
        <w:t xml:space="preserve">二、申请人的资格要求：</w:t>
      </w:r>
      <w:bookmarkEnd w:id="32"/>
      <w:r/>
      <w:bookmarkEnd w:id="33"/>
      <w:r/>
      <w:bookmarkEnd w:id="34"/>
      <w:r/>
      <w:bookmarkEnd w:id="35"/>
      <w:r/>
      <w:r/>
    </w:p>
    <w:p>
      <w:pPr>
        <w:ind w:firstLine="560"/>
        <w:spacing w:line="540" w:lineRule="exact"/>
        <w:rPr>
          <w:rFonts w:ascii="宋体" w:hAnsi="宋体" w:cs="宋体"/>
          <w:sz w:val="28"/>
          <w:szCs w:val="28"/>
        </w:rPr>
      </w:pPr>
      <w:r>
        <w:rPr>
          <w:rFonts w:hint="eastAsia" w:ascii="宋体" w:hAnsi="宋体" w:cs="宋体"/>
          <w:sz w:val="28"/>
          <w:szCs w:val="28"/>
        </w:rPr>
        <w:t xml:space="preserve">（一）满足《中华人民共和国政府采购法》第二十二条规定；</w:t>
      </w:r>
      <w:r/>
    </w:p>
    <w:p>
      <w:pPr>
        <w:ind w:firstLine="560"/>
        <w:spacing w:line="540" w:lineRule="exact"/>
        <w:rPr>
          <w:rFonts w:ascii="宋体" w:hAnsi="宋体" w:cs="宋体"/>
          <w:sz w:val="28"/>
          <w:szCs w:val="28"/>
        </w:rPr>
      </w:pPr>
      <w:r/>
      <w:bookmarkStart w:id="36" w:name="OLE_LINK19"/>
      <w:r/>
      <w:bookmarkStart w:id="37" w:name="OLE_LINK18"/>
      <w:r>
        <w:rPr>
          <w:rFonts w:hint="eastAsia" w:ascii="宋体" w:hAnsi="宋体" w:cs="宋体"/>
          <w:sz w:val="28"/>
          <w:szCs w:val="28"/>
        </w:rPr>
        <w:t xml:space="preserve">基本资格条件的承诺（根据供应商提供的承诺函，内容完整且具有法人及法定代表人的印章）。</w:t>
      </w:r>
      <w:bookmarkEnd w:id="36"/>
      <w:r/>
      <w:bookmarkEnd w:id="37"/>
      <w:r/>
      <w:r/>
    </w:p>
    <w:p>
      <w:pPr>
        <w:ind w:firstLine="560"/>
        <w:spacing w:line="540" w:lineRule="exact"/>
        <w:rPr>
          <w:rFonts w:ascii="宋体" w:hAnsi="宋体" w:cs="宋体"/>
          <w:sz w:val="28"/>
          <w:szCs w:val="28"/>
        </w:rPr>
      </w:pPr>
      <w:r/>
      <w:bookmarkStart w:id="38" w:name="_Toc28359004"/>
      <w:r/>
      <w:bookmarkStart w:id="39" w:name="_Toc28359081"/>
      <w:r>
        <w:rPr>
          <w:rFonts w:hint="eastAsia" w:ascii="宋体" w:hAnsi="宋体" w:cs="宋体"/>
          <w:sz w:val="28"/>
          <w:szCs w:val="28"/>
        </w:rPr>
        <w:t xml:space="preserve">（二）落实政府采购政策需满足的资格要求：</w:t>
      </w:r>
      <w:bookmarkStart w:id="40" w:name="OLE_LINK17"/>
      <w:r/>
      <w:bookmarkStart w:id="41" w:name="OLE_LINK16"/>
      <w:r/>
      <w:bookmarkStart w:id="42" w:name="OLE_LINK4"/>
      <w:r/>
      <w:bookmarkStart w:id="43" w:name="OLE_LINK7"/>
      <w:r>
        <w:rPr>
          <w:rFonts w:hint="eastAsia" w:ascii="宋体" w:hAnsi="宋体" w:cs="宋体"/>
          <w:sz w:val="28"/>
          <w:szCs w:val="28"/>
        </w:rPr>
        <w:t xml:space="preserve">本项目为非专门面向中小企业的项目。</w:t>
      </w:r>
      <w:bookmarkEnd w:id="40"/>
      <w:r/>
      <w:bookmarkEnd w:id="41"/>
      <w:r/>
      <w:r/>
    </w:p>
    <w:p>
      <w:pPr>
        <w:ind w:firstLine="560"/>
        <w:spacing w:line="540" w:lineRule="exact"/>
        <w:rPr>
          <w:rFonts w:ascii="宋体" w:hAnsi="宋体" w:cs="宋体"/>
          <w:sz w:val="28"/>
          <w:szCs w:val="28"/>
        </w:rPr>
      </w:pPr>
      <w:r/>
      <w:bookmarkStart w:id="44" w:name="_Toc35393627"/>
      <w:r/>
      <w:bookmarkStart w:id="45" w:name="_Toc28359085"/>
      <w:r/>
      <w:bookmarkStart w:id="46" w:name="_Toc28359008"/>
      <w:r/>
      <w:bookmarkStart w:id="47" w:name="_Toc35393796"/>
      <w:r/>
      <w:bookmarkEnd w:id="38"/>
      <w:r/>
      <w:bookmarkEnd w:id="39"/>
      <w:r/>
      <w:bookmarkEnd w:id="42"/>
      <w:r/>
      <w:bookmarkEnd w:id="43"/>
      <w:r>
        <w:rPr>
          <w:rFonts w:hint="eastAsia" w:ascii="宋体" w:hAnsi="宋体" w:cs="宋体"/>
          <w:sz w:val="28"/>
          <w:szCs w:val="28"/>
        </w:rPr>
        <w:t xml:space="preserve">（三）本项目的特定资格要求：</w:t>
      </w:r>
      <w:r/>
    </w:p>
    <w:p>
      <w:pPr>
        <w:ind w:firstLine="560"/>
        <w:spacing w:line="540" w:lineRule="exact"/>
        <w:rPr>
          <w:rFonts w:ascii="宋体" w:hAnsi="宋体" w:cs="宋体"/>
          <w:sz w:val="28"/>
          <w:szCs w:val="28"/>
        </w:rPr>
      </w:pPr>
      <w:r/>
      <w:bookmarkStart w:id="48" w:name="OLE_LINK22"/>
      <w:r/>
      <w:bookmarkStart w:id="49" w:name="OLE_LINK20"/>
      <w:r>
        <w:rPr>
          <w:rFonts w:hint="eastAsia" w:ascii="宋体" w:hAnsi="宋体" w:cs="宋体"/>
          <w:sz w:val="28"/>
          <w:szCs w:val="28"/>
        </w:rPr>
        <w:t xml:space="preserve">（1）本次招标的核心产品是害虫性诱智能测报仪，投标人须至少具有害虫性诱智能测报设备的供货业绩（时间为自2023年1月1日以来。以合同签订时间为准，提供合同扫描件，若合同中不能体现产品名称，须提供辅助证明材料）；</w:t>
      </w:r>
      <w:r/>
    </w:p>
    <w:p>
      <w:pPr>
        <w:ind w:firstLine="560"/>
        <w:spacing w:line="540" w:lineRule="exact"/>
        <w:rPr>
          <w:rFonts w:ascii="宋体" w:hAnsi="宋体" w:cs="宋体"/>
          <w:sz w:val="28"/>
          <w:szCs w:val="28"/>
        </w:rPr>
      </w:pPr>
      <w:r/>
      <w:bookmarkStart w:id="50" w:name="OLE_LINK24"/>
      <w:r/>
      <w:bookmarkStart w:id="51" w:name="OLE_LINK23"/>
      <w:r/>
      <w:bookmarkEnd w:id="48"/>
      <w:r/>
      <w:bookmarkEnd w:id="49"/>
      <w:r>
        <w:rPr>
          <w:rFonts w:hint="eastAsia" w:ascii="宋体" w:hAnsi="宋体" w:cs="宋体"/>
          <w:sz w:val="28"/>
          <w:szCs w:val="28"/>
        </w:rPr>
        <w:t xml:space="preserve">（2）</w:t>
      </w:r>
      <w:bookmarkEnd w:id="50"/>
      <w:r/>
      <w:bookmarkEnd w:id="51"/>
      <w:r>
        <w:rPr>
          <w:rFonts w:hint="eastAsia" w:ascii="宋体" w:hAnsi="宋体" w:cs="宋体"/>
          <w:sz w:val="28"/>
          <w:szCs w:val="28"/>
        </w:rPr>
        <w:t xml:space="preserve">所有监测数据要能够上传苏农云及采购人指定的相关系统（提供承诺函并加盖投标人公章）。</w:t>
      </w:r>
      <w:bookmarkStart w:id="52" w:name="OLE_LINK26"/>
      <w:r/>
      <w:bookmarkStart w:id="53" w:name="OLE_LINK25"/>
      <w:r/>
      <w:bookmarkEnd w:id="52"/>
      <w:bookmarkEnd w:id="53"/>
      <w:r/>
    </w:p>
    <w:p>
      <w:pPr>
        <w:spacing w:line="540" w:lineRule="exact"/>
        <w:rPr>
          <w:rFonts w:ascii="宋体" w:hAnsi="宋体" w:cs="宋体"/>
          <w:b/>
          <w:sz w:val="28"/>
          <w:szCs w:val="28"/>
        </w:rPr>
      </w:pPr>
      <w:r>
        <w:rPr>
          <w:rFonts w:hint="eastAsia" w:ascii="宋体" w:hAnsi="宋体" w:cs="宋体"/>
          <w:b/>
          <w:sz w:val="28"/>
          <w:szCs w:val="28"/>
        </w:rPr>
        <w:t xml:space="preserve">三、获取招标文件</w:t>
      </w:r>
      <w:r/>
    </w:p>
    <w:p>
      <w:pPr>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ascii="宋体" w:hAnsi="宋体" w:cs="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30</w:t>
      </w:r>
      <w:r>
        <w:rPr>
          <w:rFonts w:hint="eastAsia" w:ascii="宋体" w:hAnsi="宋体" w:cs="宋体"/>
          <w:sz w:val="28"/>
          <w:szCs w:val="28"/>
        </w:rPr>
        <w:t xml:space="preserve">－2026-</w:t>
      </w:r>
      <w:r>
        <w:rPr>
          <w:rFonts w:ascii="宋体" w:hAnsi="宋体" w:cs="宋体"/>
          <w:sz w:val="28"/>
          <w:szCs w:val="28"/>
        </w:rPr>
        <w:t xml:space="preserve">4</w:t>
      </w:r>
      <w:r>
        <w:rPr>
          <w:rFonts w:hint="eastAsia" w:ascii="宋体" w:hAnsi="宋体" w:cs="宋体"/>
          <w:sz w:val="28"/>
          <w:szCs w:val="28"/>
        </w:rPr>
        <w:t xml:space="preserve">-</w:t>
      </w:r>
      <w:r>
        <w:rPr>
          <w:rFonts w:ascii="宋体" w:hAnsi="宋体" w:cs="宋体"/>
          <w:sz w:val="28"/>
          <w:szCs w:val="28"/>
        </w:rPr>
        <w:t xml:space="preserve">3</w:t>
      </w:r>
      <w:r>
        <w:rPr>
          <w:rFonts w:hint="eastAsia" w:ascii="宋体" w:hAnsi="宋体" w:cs="宋体"/>
          <w:sz w:val="28"/>
          <w:szCs w:val="28"/>
        </w:rPr>
        <w:t xml:space="preserve">，每天上午00:00-12:00,下午12:00-23:59 （北京时间，法定节假日除外） </w:t>
      </w:r>
      <w:r/>
    </w:p>
    <w:p>
      <w:pPr>
        <w:ind w:firstLine="560"/>
        <w:spacing w:line="540" w:lineRule="exact"/>
        <w:rPr>
          <w:rFonts w:ascii="宋体" w:hAnsi="宋体" w:cs="宋体"/>
          <w:sz w:val="28"/>
          <w:szCs w:val="28"/>
        </w:rPr>
      </w:pPr>
      <w:r>
        <w:rPr>
          <w:rFonts w:hint="eastAsia" w:ascii="宋体" w:hAnsi="宋体" w:cs="宋体"/>
          <w:sz w:val="28"/>
          <w:szCs w:val="28"/>
        </w:rPr>
        <w:t xml:space="preserve">地点：苏采云</w:t>
      </w:r>
      <w:r/>
    </w:p>
    <w:p>
      <w:pPr>
        <w:ind w:firstLine="560"/>
        <w:spacing w:line="54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540" w:lineRule="exact"/>
        <w:rPr>
          <w:rFonts w:ascii="宋体" w:hAnsi="宋体" w:cs="宋体"/>
          <w:sz w:val="28"/>
          <w:szCs w:val="28"/>
        </w:rPr>
      </w:pPr>
      <w:r>
        <w:rPr>
          <w:rFonts w:hint="eastAsia" w:ascii="宋体" w:hAnsi="宋体" w:cs="宋体"/>
          <w:sz w:val="28"/>
          <w:szCs w:val="28"/>
        </w:rPr>
        <w:t xml:space="preserve">售价：0.00元</w:t>
      </w:r>
      <w:r/>
    </w:p>
    <w:p>
      <w:pPr>
        <w:spacing w:line="540" w:lineRule="exact"/>
        <w:rPr>
          <w:rFonts w:ascii="宋体" w:hAnsi="宋体" w:cs="宋体"/>
          <w:b/>
          <w:sz w:val="28"/>
          <w:szCs w:val="28"/>
        </w:rPr>
      </w:pPr>
      <w:r/>
      <w:bookmarkStart w:id="54" w:name="_Toc28359005"/>
      <w:r/>
      <w:bookmarkStart w:id="55" w:name="_Toc28359082"/>
      <w:r/>
      <w:bookmarkStart w:id="56" w:name="_Toc35393624"/>
      <w:r/>
      <w:bookmarkStart w:id="57" w:name="_Toc35393793"/>
      <w:r>
        <w:rPr>
          <w:rFonts w:hint="eastAsia" w:ascii="宋体" w:hAnsi="宋体" w:cs="宋体"/>
          <w:b/>
          <w:sz w:val="28"/>
          <w:szCs w:val="28"/>
        </w:rPr>
        <w:t xml:space="preserve">四、提交投标文件</w:t>
      </w:r>
      <w:bookmarkEnd w:id="54"/>
      <w:r/>
      <w:bookmarkEnd w:id="55"/>
      <w:r>
        <w:rPr>
          <w:rFonts w:hint="eastAsia" w:ascii="宋体" w:hAnsi="宋体" w:cs="宋体"/>
          <w:b/>
          <w:sz w:val="28"/>
          <w:szCs w:val="28"/>
        </w:rPr>
        <w:t xml:space="preserve">截止时间、开标时间和地点</w:t>
      </w:r>
      <w:bookmarkEnd w:id="56"/>
      <w:r/>
      <w:bookmarkEnd w:id="57"/>
      <w:r/>
      <w:r/>
    </w:p>
    <w:p>
      <w:pPr>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ascii="宋体" w:hAnsi="宋体" w:cs="宋体"/>
          <w:sz w:val="28"/>
          <w:szCs w:val="28"/>
        </w:rPr>
        <w:t xml:space="preserve">5</w:t>
      </w:r>
      <w:r>
        <w:rPr>
          <w:rFonts w:hint="eastAsia" w:ascii="宋体" w:hAnsi="宋体" w:cs="宋体"/>
          <w:sz w:val="28"/>
          <w:szCs w:val="28"/>
        </w:rPr>
        <w:t xml:space="preserve">-</w:t>
      </w:r>
      <w:r>
        <w:rPr>
          <w:rFonts w:ascii="宋体" w:hAnsi="宋体" w:cs="宋体"/>
          <w:sz w:val="28"/>
          <w:szCs w:val="28"/>
        </w:rPr>
        <w:t xml:space="preserve">12</w:t>
      </w:r>
      <w:r>
        <w:rPr>
          <w:rFonts w:ascii="宋体" w:hAnsi="宋体" w:cs="宋体"/>
          <w:sz w:val="28"/>
          <w:szCs w:val="28"/>
        </w:rPr>
        <w:t xml:space="preserve"> </w:t>
      </w:r>
      <w:r>
        <w:rPr>
          <w:rFonts w:hint="eastAsia" w:ascii="宋体" w:hAnsi="宋体" w:cs="宋体"/>
          <w:sz w:val="28"/>
          <w:szCs w:val="28"/>
        </w:rPr>
        <w:t xml:space="preserve"> </w:t>
      </w:r>
      <w:r>
        <w:rPr>
          <w:rFonts w:ascii="宋体" w:hAnsi="宋体" w:cs="宋体"/>
          <w:sz w:val="28"/>
          <w:szCs w:val="28"/>
        </w:rPr>
        <w:t xml:space="preserve">9</w:t>
      </w:r>
      <w:r>
        <w:rPr>
          <w:rFonts w:hint="eastAsia" w:ascii="宋体" w:hAnsi="宋体" w:cs="宋体"/>
          <w:sz w:val="28"/>
          <w:szCs w:val="28"/>
        </w:rPr>
        <w:t xml:space="preserve">:</w:t>
      </w:r>
      <w:r>
        <w:rPr>
          <w:rFonts w:ascii="宋体" w:hAnsi="宋体" w:cs="宋体"/>
          <w:sz w:val="28"/>
          <w:szCs w:val="28"/>
        </w:rPr>
        <w:t xml:space="preserve">0</w:t>
      </w:r>
      <w:r>
        <w:rPr>
          <w:rFonts w:hint="eastAsia" w:ascii="宋体" w:hAnsi="宋体" w:cs="宋体"/>
          <w:sz w:val="28"/>
          <w:szCs w:val="28"/>
        </w:rPr>
        <w:t xml:space="preserve">0 （北京时间）</w:t>
      </w:r>
      <w:r/>
    </w:p>
    <w:p>
      <w:pPr>
        <w:ind w:firstLine="560"/>
        <w:spacing w:line="540" w:lineRule="exact"/>
        <w:rPr>
          <w:rFonts w:ascii="宋体" w:hAnsi="宋体" w:cs="宋体"/>
          <w:sz w:val="28"/>
          <w:szCs w:val="28"/>
        </w:rPr>
      </w:pPr>
      <w:r>
        <w:rPr>
          <w:rFonts w:hint="eastAsia" w:ascii="宋体" w:hAnsi="宋体" w:cs="宋体"/>
          <w:sz w:val="28"/>
          <w:szCs w:val="28"/>
        </w:rPr>
        <w:t xml:space="preserve">地点：苏采云。</w:t>
      </w:r>
      <w:r/>
    </w:p>
    <w:p>
      <w:pPr>
        <w:spacing w:line="540" w:lineRule="exact"/>
        <w:rPr>
          <w:rFonts w:ascii="宋体" w:hAnsi="宋体" w:cs="宋体"/>
          <w:b/>
          <w:sz w:val="28"/>
          <w:szCs w:val="28"/>
        </w:rPr>
      </w:pPr>
      <w:r/>
      <w:bookmarkStart w:id="58" w:name="_Toc35393625"/>
      <w:r/>
      <w:bookmarkStart w:id="59" w:name="_Toc28359007"/>
      <w:r/>
      <w:bookmarkStart w:id="60" w:name="_Toc35393794"/>
      <w:r/>
      <w:bookmarkStart w:id="61" w:name="_Toc28359084"/>
      <w:r>
        <w:rPr>
          <w:rFonts w:hint="eastAsia" w:ascii="宋体" w:hAnsi="宋体" w:cs="宋体"/>
          <w:b/>
          <w:sz w:val="28"/>
          <w:szCs w:val="28"/>
        </w:rPr>
        <w:t xml:space="preserve">五、公告期限</w:t>
      </w:r>
      <w:bookmarkEnd w:id="58"/>
      <w:r/>
      <w:bookmarkEnd w:id="59"/>
      <w:r/>
      <w:bookmarkEnd w:id="60"/>
      <w:r/>
      <w:bookmarkEnd w:id="61"/>
      <w:r/>
      <w:r/>
    </w:p>
    <w:p>
      <w:pPr>
        <w:ind w:firstLine="560"/>
        <w:spacing w:line="540" w:lineRule="exact"/>
        <w:rPr>
          <w:rFonts w:ascii="宋体" w:hAnsi="宋体" w:cs="宋体"/>
          <w:sz w:val="28"/>
          <w:szCs w:val="28"/>
        </w:rPr>
      </w:pPr>
      <w:r>
        <w:rPr>
          <w:rFonts w:hint="eastAsia" w:ascii="宋体" w:hAnsi="宋体" w:cs="宋体"/>
          <w:sz w:val="28"/>
          <w:szCs w:val="28"/>
        </w:rPr>
        <w:t xml:space="preserve">自本公告发布之日起5个工作日。</w:t>
      </w:r>
      <w:r/>
    </w:p>
    <w:p>
      <w:pPr>
        <w:spacing w:line="540" w:lineRule="exact"/>
        <w:rPr>
          <w:rFonts w:ascii="宋体" w:hAnsi="宋体" w:cs="宋体"/>
          <w:b/>
          <w:sz w:val="28"/>
          <w:szCs w:val="28"/>
        </w:rPr>
      </w:pPr>
      <w:r/>
      <w:bookmarkStart w:id="62" w:name="_Toc35393626"/>
      <w:r/>
      <w:bookmarkStart w:id="63" w:name="_Toc35393795"/>
      <w:r>
        <w:rPr>
          <w:rFonts w:hint="eastAsia" w:ascii="宋体" w:hAnsi="宋体" w:cs="宋体"/>
          <w:b/>
          <w:sz w:val="28"/>
          <w:szCs w:val="28"/>
        </w:rPr>
        <w:t xml:space="preserve">六、其他补充事宜</w:t>
      </w:r>
      <w:bookmarkEnd w:id="62"/>
      <w:r/>
      <w:bookmarkEnd w:id="63"/>
      <w:r/>
      <w:r/>
    </w:p>
    <w:p>
      <w:pPr>
        <w:ind w:firstLine="560"/>
        <w:spacing w:line="540" w:lineRule="exact"/>
        <w:rPr>
          <w:rFonts w:ascii="宋体" w:hAnsi="宋体" w:cs="宋体"/>
          <w:sz w:val="28"/>
          <w:szCs w:val="28"/>
        </w:rPr>
      </w:pPr>
      <w:r/>
      <w:bookmarkStart w:id="64" w:name="OLE_LINK103"/>
      <w:r/>
      <w:bookmarkStart w:id="65" w:name="OLE_LINK102"/>
      <w:r>
        <w:rPr>
          <w:rFonts w:hint="eastAsia" w:ascii="宋体" w:hAnsi="宋体" w:cs="宋体"/>
          <w:sz w:val="28"/>
          <w:szCs w:val="28"/>
        </w:rPr>
        <w:t xml:space="preserve">1.投标保证金：无。</w:t>
      </w:r>
      <w:r/>
    </w:p>
    <w:p>
      <w:pPr>
        <w:ind w:firstLine="560"/>
        <w:spacing w:line="540" w:lineRule="exact"/>
        <w:rPr>
          <w:rFonts w:ascii="宋体" w:hAnsi="宋体" w:cs="宋体"/>
          <w:sz w:val="28"/>
          <w:szCs w:val="28"/>
        </w:rPr>
      </w:pPr>
      <w:r>
        <w:rPr>
          <w:rFonts w:hint="eastAsia" w:ascii="宋体" w:hAnsi="宋体" w:cs="宋体"/>
          <w:sz w:val="28"/>
          <w:szCs w:val="28"/>
        </w:rPr>
        <w:t xml:space="preserve">2.公告发布媒介：江苏政府采购网（www.ccgp-jiangsu.gov.cn）</w:t>
      </w:r>
      <w:r/>
    </w:p>
    <w:p>
      <w:pPr>
        <w:ind w:firstLine="562"/>
        <w:spacing w:line="540" w:lineRule="exact"/>
        <w:rPr>
          <w:rFonts w:ascii="宋体" w:hAnsi="宋体" w:cs="宋体"/>
          <w:b/>
          <w:sz w:val="28"/>
          <w:szCs w:val="28"/>
        </w:rPr>
      </w:pPr>
      <w:r>
        <w:rPr>
          <w:rFonts w:ascii="宋体" w:hAnsi="宋体" w:cs="宋体"/>
          <w:b/>
          <w:sz w:val="28"/>
          <w:szCs w:val="28"/>
        </w:rPr>
        <w:t xml:space="preserve">3</w:t>
      </w:r>
      <w:r>
        <w:rPr>
          <w:rFonts w:hint="eastAsia" w:ascii="宋体" w:hAnsi="宋体" w:cs="宋体"/>
          <w:b/>
          <w:sz w:val="28"/>
          <w:szCs w:val="28"/>
        </w:rPr>
        <w:t xml:space="preserve">. 注意事项：</w:t>
      </w:r>
      <w:r/>
    </w:p>
    <w:p>
      <w:pPr>
        <w:ind w:firstLine="562"/>
        <w:spacing w:line="540" w:lineRule="exact"/>
        <w:rPr>
          <w:rFonts w:ascii="宋体" w:hAnsi="宋体" w:cs="宋体"/>
          <w:b/>
          <w:sz w:val="28"/>
          <w:szCs w:val="28"/>
        </w:rPr>
      </w:pPr>
      <w:r>
        <w:rPr>
          <w:rFonts w:hint="eastAsia" w:ascii="宋体" w:hAnsi="宋体" w:cs="宋体"/>
          <w:b/>
          <w:sz w:val="28"/>
          <w:szCs w:val="28"/>
        </w:rPr>
        <w:t xml:space="preserve">（1）潜在投标人登录“江苏省政府采购管理交易系统（苏采云）”</w:t>
      </w:r>
      <w:r>
        <w:rPr>
          <w:rFonts w:hint="eastAsia" w:ascii="宋体" w:hAnsi="宋体" w:cs="宋体"/>
          <w:b/>
          <w:sz w:val="28"/>
          <w:szCs w:val="28"/>
        </w:rPr>
        <w:t xml:space="preserve">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540" w:lineRule="exact"/>
        <w:rPr>
          <w:rFonts w:ascii="宋体" w:hAnsi="宋体" w:cs="宋体"/>
          <w:b/>
          <w:sz w:val="28"/>
          <w:szCs w:val="28"/>
        </w:rPr>
      </w:pPr>
      <w:r>
        <w:rPr>
          <w:rFonts w:hint="eastAsia" w:ascii="宋体" w:hAnsi="宋体" w:cs="宋体"/>
          <w:b/>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40" w:lineRule="exact"/>
        <w:rPr>
          <w:rFonts w:ascii="宋体" w:hAnsi="宋体" w:cs="宋体"/>
          <w:b/>
          <w:sz w:val="28"/>
          <w:szCs w:val="28"/>
        </w:rPr>
      </w:pPr>
      <w:r>
        <w:rPr>
          <w:rFonts w:hint="eastAsia" w:ascii="宋体" w:hAnsi="宋体" w:cs="宋体"/>
          <w:b/>
          <w:sz w:val="28"/>
          <w:szCs w:val="28"/>
        </w:rPr>
        <w:t xml:space="preserve">（3）有关本次招标的事项若存在变动或修改，敬请及时关注“江苏政府采购网”发布的更正公告。</w:t>
      </w:r>
      <w:r/>
    </w:p>
    <w:p>
      <w:pPr>
        <w:ind w:firstLine="562"/>
        <w:spacing w:line="540" w:lineRule="exact"/>
        <w:rPr>
          <w:rFonts w:ascii="宋体" w:hAnsi="宋体" w:cs="宋体"/>
          <w:sz w:val="28"/>
          <w:szCs w:val="28"/>
        </w:rPr>
      </w:pPr>
      <w:r>
        <w:rPr>
          <w:rFonts w:hint="eastAsia" w:ascii="宋体" w:hAnsi="宋体" w:cs="宋体"/>
          <w:b/>
          <w:sz w:val="28"/>
          <w:szCs w:val="28"/>
        </w:rPr>
        <w:t xml:space="preserve">如潜在投标人未按上述要求操作，将自行承担所产生的风险。</w:t>
      </w:r>
      <w:bookmarkEnd w:id="64"/>
      <w:bookmarkEnd w:id="65"/>
      <w:r/>
    </w:p>
    <w:p>
      <w:pPr>
        <w:spacing w:line="540" w:lineRule="exact"/>
        <w:rPr>
          <w:rFonts w:ascii="宋体" w:hAnsi="宋体" w:cs="宋体"/>
          <w:sz w:val="28"/>
          <w:szCs w:val="28"/>
        </w:rPr>
      </w:pPr>
      <w:r>
        <w:rPr>
          <w:rFonts w:hint="eastAsia" w:ascii="宋体" w:hAnsi="宋体" w:cs="宋体"/>
          <w:b/>
          <w:sz w:val="28"/>
          <w:szCs w:val="28"/>
        </w:rPr>
        <w:t xml:space="preserve">七、对本次招标提出询问，请按以下方式联系。</w:t>
      </w:r>
      <w:bookmarkEnd w:id="44"/>
      <w:r/>
      <w:bookmarkEnd w:id="45"/>
      <w:r/>
      <w:bookmarkEnd w:id="46"/>
      <w:r/>
      <w:bookmarkEnd w:id="47"/>
      <w:r/>
      <w:r/>
    </w:p>
    <w:p>
      <w:pPr>
        <w:ind w:firstLine="561"/>
        <w:jc w:val="left"/>
        <w:spacing w:line="500" w:lineRule="exact"/>
        <w:widowControl/>
        <w:rPr>
          <w:rFonts w:ascii="宋体" w:hAnsi="宋体" w:cs="Calibri"/>
          <w:color w:val="000000" w:themeColor="text1"/>
          <w:sz w:val="28"/>
          <w:szCs w:val="28"/>
        </w:rPr>
      </w:pPr>
      <w:r/>
      <w:bookmarkStart w:id="66" w:name="_Toc426469869"/>
      <w:r/>
      <w:bookmarkStart w:id="67" w:name="_Toc479757206"/>
      <w:r/>
      <w:bookmarkStart w:id="68" w:name="_Toc382812472"/>
      <w:r/>
      <w:bookmarkStart w:id="69" w:name="_Toc382813885"/>
      <w:r/>
      <w:bookmarkStart w:id="70" w:name="_Toc20823272"/>
      <w:r/>
      <w:bookmarkStart w:id="71" w:name="_Toc16938516"/>
      <w:r/>
      <w:bookmarkStart w:id="72" w:name="_Toc513029200"/>
      <w:r/>
      <w:bookmarkStart w:id="73" w:name="_Toc523127445"/>
      <w:r/>
      <w:bookmarkStart w:id="74" w:name="_Toc382813966"/>
      <w:r>
        <w:rPr>
          <w:rFonts w:hint="eastAsia" w:ascii="宋体" w:hAnsi="宋体" w:cs="Calibri"/>
          <w:color w:val="000000" w:themeColor="text1"/>
          <w:sz w:val="28"/>
          <w:szCs w:val="28"/>
        </w:rPr>
        <w:t xml:space="preserve">1.招标人信息</w:t>
      </w:r>
      <w:r/>
    </w:p>
    <w:p>
      <w:pPr>
        <w:ind w:firstLine="561"/>
        <w:jc w:val="left"/>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招标人：</w:t>
      </w:r>
      <w:r>
        <w:rPr>
          <w:rFonts w:hint="eastAsia" w:ascii="宋体" w:hAnsi="宋体" w:cs="Calibri"/>
          <w:color w:val="000000" w:themeColor="text1"/>
          <w:sz w:val="28"/>
          <w:szCs w:val="28"/>
          <w:u w:val="single"/>
        </w:rPr>
        <w:t xml:space="preserve">泰兴市农业技术推广中心</w:t>
      </w:r>
      <w:r/>
    </w:p>
    <w:p>
      <w:pPr>
        <w:pStyle w:val="735"/>
        <w:ind w:left="1580" w:hanging="980"/>
        <w:spacing w:before="0" w:after="0" w:line="460" w:lineRule="exact"/>
        <w:rPr>
          <w:rFonts w:hint="default"/>
          <w:color w:val="000000" w:themeColor="text1"/>
        </w:rPr>
      </w:pPr>
      <w:r>
        <w:rPr>
          <w:rFonts w:cs="Calibri"/>
          <w:color w:val="000000" w:themeColor="text1"/>
          <w:sz w:val="28"/>
          <w:szCs w:val="28"/>
        </w:rPr>
        <w:t xml:space="preserve">地 址：</w:t>
      </w:r>
      <w:r>
        <w:rPr>
          <w:rFonts w:cs="Calibri"/>
          <w:color w:val="000000" w:themeColor="text1"/>
          <w:sz w:val="28"/>
          <w:szCs w:val="28"/>
          <w:u w:val="single"/>
        </w:rPr>
        <w:t xml:space="preserve">泰兴市板桥路159号</w:t>
      </w:r>
      <w:r/>
    </w:p>
    <w:p>
      <w:pPr>
        <w:ind w:firstLine="561"/>
        <w:jc w:val="left"/>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联系方式：</w:t>
      </w:r>
      <w:r>
        <w:rPr>
          <w:rFonts w:hint="eastAsia" w:ascii="宋体" w:hAnsi="宋体" w:cs="Calibri"/>
          <w:color w:val="000000" w:themeColor="text1"/>
          <w:sz w:val="28"/>
          <w:szCs w:val="28"/>
          <w:u w:val="single"/>
        </w:rPr>
        <w:t xml:space="preserve">0523-82060413</w:t>
      </w:r>
      <w:r/>
    </w:p>
    <w:p>
      <w:pPr>
        <w:ind w:firstLine="561"/>
        <w:jc w:val="left"/>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2.采购代理机构信息</w:t>
      </w:r>
      <w:r/>
    </w:p>
    <w:p>
      <w:pPr>
        <w:pStyle w:val="735"/>
        <w:ind w:firstLine="561"/>
        <w:jc w:val="both"/>
        <w:spacing w:before="0" w:after="0" w:line="500" w:lineRule="exact"/>
        <w:rPr>
          <w:rFonts w:hint="default"/>
          <w:color w:val="000000" w:themeColor="text1"/>
          <w:sz w:val="28"/>
          <w:szCs w:val="28"/>
        </w:rPr>
      </w:pPr>
      <w:r>
        <w:rPr>
          <w:color w:val="000000" w:themeColor="text1"/>
          <w:sz w:val="28"/>
          <w:szCs w:val="28"/>
        </w:rPr>
        <w:t xml:space="preserve">名 称：</w:t>
      </w:r>
      <w:r>
        <w:rPr>
          <w:color w:val="000000" w:themeColor="text1"/>
          <w:sz w:val="28"/>
          <w:szCs w:val="28"/>
          <w:u w:val="single"/>
        </w:rPr>
        <w:t xml:space="preserve">江苏润泰工程项目管理咨询有限公司</w:t>
      </w:r>
      <w:r/>
    </w:p>
    <w:p>
      <w:pPr>
        <w:pStyle w:val="735"/>
        <w:ind w:firstLine="561"/>
        <w:jc w:val="both"/>
        <w:spacing w:before="0" w:after="0" w:line="500" w:lineRule="exact"/>
        <w:rPr>
          <w:rFonts w:hint="default"/>
          <w:color w:val="000000" w:themeColor="text1"/>
          <w:sz w:val="28"/>
          <w:szCs w:val="28"/>
        </w:rPr>
      </w:pPr>
      <w:r>
        <w:rPr>
          <w:color w:val="000000" w:themeColor="text1"/>
          <w:sz w:val="28"/>
          <w:szCs w:val="28"/>
        </w:rPr>
        <w:t xml:space="preserve">地　址：</w:t>
      </w:r>
      <w:r>
        <w:rPr>
          <w:color w:val="000000" w:themeColor="text1"/>
          <w:sz w:val="28"/>
          <w:szCs w:val="28"/>
          <w:u w:val="single"/>
        </w:rPr>
        <w:t xml:space="preserve">泰兴市科政路39号</w:t>
      </w:r>
      <w:r/>
    </w:p>
    <w:p>
      <w:pPr>
        <w:pStyle w:val="735"/>
        <w:ind w:firstLine="561"/>
        <w:jc w:val="both"/>
        <w:spacing w:before="0" w:after="0" w:line="500" w:lineRule="exact"/>
        <w:rPr>
          <w:rFonts w:hint="default"/>
          <w:color w:val="000000" w:themeColor="text1"/>
          <w:sz w:val="28"/>
          <w:szCs w:val="28"/>
        </w:rPr>
      </w:pPr>
      <w:r>
        <w:rPr>
          <w:color w:val="000000" w:themeColor="text1"/>
          <w:sz w:val="28"/>
          <w:szCs w:val="28"/>
        </w:rPr>
        <w:t xml:space="preserve">联系方式：</w:t>
      </w:r>
      <w:r>
        <w:rPr>
          <w:color w:val="000000" w:themeColor="text1"/>
          <w:sz w:val="28"/>
          <w:szCs w:val="28"/>
          <w:u w:val="single"/>
        </w:rPr>
        <w:t xml:space="preserve">0523-87723388</w:t>
      </w:r>
      <w:r/>
    </w:p>
    <w:p>
      <w:pPr>
        <w:ind w:firstLine="561"/>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4.项目联系方式</w:t>
      </w:r>
      <w:r/>
    </w:p>
    <w:p>
      <w:pPr>
        <w:pStyle w:val="735"/>
        <w:ind w:firstLine="561"/>
        <w:jc w:val="both"/>
        <w:spacing w:before="0" w:after="0" w:line="500" w:lineRule="exact"/>
        <w:rPr>
          <w:rFonts w:hint="default"/>
          <w:color w:val="000000" w:themeColor="text1"/>
          <w:sz w:val="28"/>
          <w:szCs w:val="28"/>
        </w:rPr>
      </w:pPr>
      <w:r>
        <w:rPr>
          <w:color w:val="000000" w:themeColor="text1"/>
          <w:sz w:val="28"/>
          <w:szCs w:val="28"/>
        </w:rPr>
        <w:t xml:space="preserve">项目联系人：</w:t>
      </w:r>
      <w:bookmarkStart w:id="75" w:name="OLE_LINK122"/>
      <w:r/>
      <w:bookmarkStart w:id="76" w:name="OLE_LINK121"/>
      <w:r/>
      <w:bookmarkStart w:id="77" w:name="OLE_LINK136"/>
      <w:r/>
      <w:bookmarkStart w:id="78" w:name="OLE_LINK135"/>
      <w:r>
        <w:rPr>
          <w:rFonts w:cs="Calibri"/>
          <w:color w:val="000000" w:themeColor="text1"/>
          <w:sz w:val="28"/>
          <w:szCs w:val="28"/>
          <w:u w:val="single"/>
        </w:rPr>
        <w:t xml:space="preserve">泰兴市农业技术推广中心  </w:t>
      </w:r>
      <w:bookmarkEnd w:id="75"/>
      <w:r/>
      <w:bookmarkEnd w:id="76"/>
      <w:r>
        <w:rPr>
          <w:rFonts w:cs="Calibri"/>
          <w:color w:val="000000" w:themeColor="text1"/>
          <w:sz w:val="28"/>
          <w:szCs w:val="28"/>
          <w:u w:val="single"/>
        </w:rPr>
        <w:t xml:space="preserve">殷先生</w:t>
      </w:r>
      <w:bookmarkEnd w:id="77"/>
      <w:bookmarkEnd w:id="78"/>
      <w:r/>
    </w:p>
    <w:p>
      <w:pPr>
        <w:pStyle w:val="735"/>
        <w:ind w:firstLine="561"/>
        <w:jc w:val="both"/>
        <w:spacing w:before="0" w:after="0" w:line="500" w:lineRule="exact"/>
        <w:rPr>
          <w:rFonts w:hint="default"/>
          <w:color w:val="000000" w:themeColor="text1"/>
          <w:sz w:val="28"/>
          <w:szCs w:val="28"/>
          <w:u w:val="single"/>
        </w:rPr>
      </w:pPr>
      <w:r>
        <w:rPr>
          <w:color w:val="000000" w:themeColor="text1"/>
          <w:sz w:val="28"/>
          <w:szCs w:val="28"/>
        </w:rPr>
        <w:t xml:space="preserve">电　话：</w:t>
      </w:r>
      <w:r>
        <w:rPr>
          <w:rFonts w:cs="Calibri"/>
          <w:color w:val="000000" w:themeColor="text1"/>
          <w:sz w:val="28"/>
          <w:szCs w:val="28"/>
          <w:u w:val="single"/>
        </w:rPr>
        <w:t xml:space="preserve">0523-82060413</w:t>
      </w:r>
      <w:r/>
    </w:p>
    <w:p>
      <w:pPr>
        <w:pStyle w:val="735"/>
        <w:ind w:firstLine="561"/>
        <w:jc w:val="both"/>
        <w:spacing w:before="0" w:after="0" w:line="500" w:lineRule="exact"/>
        <w:rPr>
          <w:rFonts w:hint="default"/>
          <w:sz w:val="28"/>
          <w:szCs w:val="28"/>
        </w:rPr>
      </w:pPr>
      <w:r>
        <w:rPr>
          <w:color w:val="000000" w:themeColor="text1"/>
          <w:sz w:val="28"/>
          <w:szCs w:val="28"/>
        </w:rPr>
        <w:t xml:space="preserve">项目联系人：</w:t>
      </w:r>
      <w:r>
        <w:rPr>
          <w:color w:val="000000" w:themeColor="text1"/>
          <w:sz w:val="28"/>
          <w:szCs w:val="28"/>
          <w:u w:val="single"/>
        </w:rPr>
        <w:t xml:space="preserve">江苏润泰工程项目管理咨</w:t>
      </w:r>
      <w:r>
        <w:rPr>
          <w:sz w:val="28"/>
          <w:szCs w:val="28"/>
          <w:u w:val="single"/>
        </w:rPr>
        <w:t xml:space="preserve">询有限公司  杨云  </w:t>
      </w:r>
      <w:bookmarkEnd w:id="12"/>
      <w:r>
        <w:rPr>
          <w:sz w:val="28"/>
          <w:szCs w:val="28"/>
          <w:u w:val="single"/>
        </w:rPr>
        <w:t xml:space="preserve">成洁</w:t>
      </w:r>
      <w:r/>
    </w:p>
    <w:p>
      <w:pPr>
        <w:jc w:val="center"/>
        <w:widowControl/>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第二章</w:t>
      </w:r>
      <w:r>
        <w:rPr>
          <w:rFonts w:hint="eastAsia" w:ascii="黑体" w:hAnsi="黑体" w:eastAsia="黑体"/>
          <w:b/>
          <w:sz w:val="32"/>
          <w:szCs w:val="32"/>
        </w:rPr>
        <w:t xml:space="preserve"> </w:t>
      </w:r>
      <w:r>
        <w:rPr>
          <w:rFonts w:ascii="黑体" w:hAnsi="黑体" w:eastAsia="黑体"/>
          <w:b/>
          <w:sz w:val="32"/>
          <w:szCs w:val="32"/>
        </w:rPr>
        <w:t xml:space="preserve"> </w:t>
      </w:r>
      <w:r>
        <w:rPr>
          <w:rFonts w:hint="eastAsia" w:ascii="黑体" w:hAnsi="黑体" w:eastAsia="黑体"/>
          <w:b/>
          <w:sz w:val="32"/>
          <w:szCs w:val="32"/>
        </w:rPr>
        <w:t xml:space="preserve">投标人须知</w:t>
      </w:r>
      <w:bookmarkEnd w:id="66"/>
      <w:r/>
      <w:r/>
    </w:p>
    <w:p>
      <w:pPr>
        <w:rPr>
          <w:sz w:val="28"/>
          <w:szCs w:val="28"/>
        </w:rPr>
      </w:pPr>
      <w:r/>
      <w:bookmarkStart w:id="79" w:name="_Toc426469870"/>
      <w:r>
        <w:rPr>
          <w:rFonts w:hint="eastAsia"/>
          <w:sz w:val="28"/>
          <w:szCs w:val="28"/>
        </w:rPr>
        <w:t xml:space="preserve">投标人须知前附表</w:t>
      </w:r>
      <w:bookmarkEnd w:id="79"/>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条款名称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编列内容</w:t>
            </w:r>
            <w:r/>
          </w:p>
        </w:tc>
      </w:tr>
      <w:tr>
        <w:trPr>
          <w:jc w:val="center"/>
          <w:trHeight w:val="58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5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项目名称及</w:t>
            </w:r>
            <w:r/>
          </w:p>
          <w:p>
            <w:pPr>
              <w:jc w:val="center"/>
              <w:spacing w:line="360" w:lineRule="exact"/>
              <w:rPr>
                <w:rFonts w:ascii="宋体"/>
                <w:sz w:val="28"/>
                <w:szCs w:val="28"/>
              </w:rPr>
            </w:pPr>
            <w:r>
              <w:rPr>
                <w:rFonts w:hint="eastAsia" w:ascii="宋体" w:hAnsi="宋体"/>
                <w:sz w:val="28"/>
                <w:szCs w:val="28"/>
              </w:rPr>
              <w:t xml:space="preserve">项目编号</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sz w:val="28"/>
                <w:szCs w:val="28"/>
              </w:rPr>
              <w:t xml:space="preserve">付款方式</w:t>
            </w:r>
            <w:r/>
          </w:p>
        </w:tc>
        <w:tc>
          <w:tcPr>
            <w:tcW w:w="5987" w:type="dxa"/>
            <w:vAlign w:val="center"/>
            <w:textDirection w:val="lrTb"/>
            <w:noWrap w:val="false"/>
          </w:tcPr>
          <w:p>
            <w:pPr>
              <w:pStyle w:val="735"/>
              <w:jc w:val="both"/>
              <w:spacing w:before="0" w:after="0" w:line="400" w:lineRule="exact"/>
              <w:rPr>
                <w:rFonts w:hint="default" w:hAnsi="Times New Roman"/>
                <w:color w:val="auto"/>
                <w:sz w:val="28"/>
                <w:szCs w:val="28"/>
              </w:rPr>
            </w:pPr>
            <w:r>
              <w:rPr>
                <w:rFonts w:hAnsi="Times New Roman"/>
                <w:color w:val="auto"/>
                <w:sz w:val="28"/>
                <w:szCs w:val="28"/>
              </w:rPr>
              <w:t xml:space="preserve">合同签订后支付合同价的30%，</w:t>
            </w:r>
            <w:r>
              <w:rPr>
                <w:rFonts w:hint="default" w:hAnsi="Times New Roman"/>
                <w:color w:val="auto"/>
                <w:sz w:val="28"/>
                <w:szCs w:val="28"/>
              </w:rPr>
              <w:t xml:space="preserve">验收合格</w:t>
            </w:r>
            <w:r>
              <w:rPr>
                <w:rFonts w:hAnsi="Times New Roman"/>
                <w:color w:val="auto"/>
                <w:sz w:val="28"/>
                <w:szCs w:val="28"/>
              </w:rPr>
              <w:t xml:space="preserve">交付使用</w:t>
            </w:r>
            <w:r>
              <w:rPr>
                <w:rFonts w:hint="default" w:hAnsi="Times New Roman"/>
                <w:color w:val="auto"/>
                <w:sz w:val="28"/>
                <w:szCs w:val="28"/>
              </w:rPr>
              <w:t xml:space="preserve">后</w:t>
            </w:r>
            <w:r>
              <w:rPr>
                <w:rFonts w:hAnsi="Times New Roman"/>
                <w:color w:val="auto"/>
                <w:sz w:val="28"/>
                <w:szCs w:val="28"/>
              </w:rPr>
              <w:t xml:space="preserve">付至合同价</w:t>
            </w:r>
            <w:r>
              <w:rPr>
                <w:rFonts w:hint="default" w:hAnsi="Times New Roman"/>
                <w:color w:val="auto"/>
                <w:sz w:val="28"/>
                <w:szCs w:val="28"/>
              </w:rPr>
              <w:t xml:space="preserve">的9</w:t>
            </w:r>
            <w:r>
              <w:rPr>
                <w:rFonts w:hAnsi="Times New Roman"/>
                <w:color w:val="auto"/>
                <w:sz w:val="28"/>
                <w:szCs w:val="28"/>
              </w:rPr>
              <w:t xml:space="preserve">0</w:t>
            </w:r>
            <w:r>
              <w:rPr>
                <w:rFonts w:hint="default" w:hAnsi="Times New Roman"/>
                <w:color w:val="auto"/>
                <w:sz w:val="28"/>
                <w:szCs w:val="28"/>
              </w:rPr>
              <w:t xml:space="preserve">%，余款</w:t>
            </w:r>
            <w:r>
              <w:rPr>
                <w:rFonts w:hAnsi="Times New Roman"/>
                <w:color w:val="auto"/>
                <w:sz w:val="28"/>
                <w:szCs w:val="28"/>
              </w:rPr>
              <w:t xml:space="preserve">三年</w:t>
            </w:r>
            <w:r>
              <w:rPr>
                <w:rFonts w:hint="default" w:hAnsi="Times New Roman"/>
                <w:color w:val="auto"/>
                <w:sz w:val="28"/>
                <w:szCs w:val="28"/>
              </w:rPr>
              <w:t xml:space="preserve">后付清（所有款项均不计利息）。</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sz w:val="28"/>
                <w:szCs w:val="28"/>
              </w:rPr>
              <w:t xml:space="preserve">详见</w:t>
            </w:r>
            <w:r>
              <w:rPr>
                <w:rFonts w:hint="eastAsia" w:ascii="宋体" w:hAnsi="宋体"/>
                <w:sz w:val="28"/>
                <w:szCs w:val="28"/>
              </w:rPr>
              <w:t xml:space="preserve">第四章采购需求</w:t>
            </w:r>
            <w:r/>
          </w:p>
        </w:tc>
      </w:tr>
      <w:tr>
        <w:trPr>
          <w:jc w:val="center"/>
          <w:trHeight w:val="699"/>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要求投标人具备</w:t>
            </w:r>
            <w:r>
              <w:rPr>
                <w:rFonts w:hint="eastAsia" w:ascii="宋体" w:hAnsi="宋体" w:cs="宋体"/>
                <w:sz w:val="28"/>
                <w:szCs w:val="28"/>
              </w:rPr>
              <w:t xml:space="preserve">的特定资格要求</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sz w:val="28"/>
                <w:szCs w:val="28"/>
              </w:rPr>
              <w:t xml:space="preserve">详见</w:t>
            </w:r>
            <w:r>
              <w:rPr>
                <w:rFonts w:hint="eastAsia" w:ascii="宋体" w:hAnsi="宋体" w:cs="宋体"/>
                <w:sz w:val="28"/>
                <w:szCs w:val="28"/>
              </w:rPr>
              <w:t xml:space="preserve">招标公告</w:t>
            </w:r>
            <w:r/>
          </w:p>
        </w:tc>
      </w:tr>
      <w:tr>
        <w:trPr>
          <w:jc w:val="center"/>
          <w:trHeight w:val="503"/>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偏离</w:t>
            </w:r>
            <w:r/>
          </w:p>
        </w:tc>
        <w:tc>
          <w:tcPr>
            <w:tcW w:w="5987" w:type="dxa"/>
            <w:vAlign w:val="center"/>
            <w:textDirection w:val="lrTb"/>
            <w:noWrap w:val="false"/>
          </w:tcPr>
          <w:p>
            <w:pPr>
              <w:pStyle w:val="720"/>
              <w:spacing w:line="400" w:lineRule="exact"/>
              <w:rPr>
                <w:rFonts w:ascii="宋体" w:hAnsi="宋体"/>
                <w:sz w:val="28"/>
                <w:szCs w:val="28"/>
              </w:rPr>
            </w:pPr>
            <w:r/>
            <w:bookmarkStart w:id="80" w:name="FEfe800446baa24252acf6b14953dc4897"/>
            <w:r/>
            <w:bookmarkStart w:id="81" w:name="FBfe800446baa24252acf6b14953dc4897"/>
            <w:r/>
            <w:bookmarkEnd w:id="80"/>
            <w:r/>
            <w:bookmarkEnd w:id="81"/>
            <w:r>
              <w:rPr>
                <w:rFonts w:hint="eastAsia"/>
                <w:sz w:val="28"/>
                <w:szCs w:val="28"/>
              </w:rPr>
              <w:t xml:space="preserve">根据本项目评标办法自行考虑。</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rPr>
            </w:pPr>
            <w:r/>
            <w:bookmarkStart w:id="82" w:name="EB35ced2e8f8364f63a510bf246ff979f0"/>
            <w:r/>
            <w:bookmarkEnd w:id="82"/>
            <w:r>
              <w:rPr>
                <w:rFonts w:hint="eastAsia" w:ascii="宋体" w:hAnsi="宋体"/>
                <w:sz w:val="28"/>
                <w:szCs w:val="28"/>
              </w:rPr>
              <w:t xml:space="preserve">/</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sz w:val="28"/>
                <w:szCs w:val="28"/>
              </w:rPr>
            </w:pPr>
            <w:r>
              <w:rPr>
                <w:rFonts w:hint="eastAsia"/>
                <w:sz w:val="28"/>
                <w:szCs w:val="28"/>
              </w:rPr>
              <w:t xml:space="preserve">投标人要求澄清招标文件的截止时间</w:t>
            </w:r>
            <w:r/>
          </w:p>
        </w:tc>
        <w:tc>
          <w:tcPr>
            <w:tcW w:w="5987" w:type="dxa"/>
            <w:vAlign w:val="center"/>
            <w:textDirection w:val="lrTb"/>
            <w:noWrap w:val="false"/>
          </w:tcPr>
          <w:p>
            <w:pPr>
              <w:spacing w:line="440" w:lineRule="exact"/>
              <w:rPr>
                <w:sz w:val="28"/>
                <w:szCs w:val="28"/>
              </w:rPr>
            </w:pPr>
            <w:r>
              <w:rPr>
                <w:rFonts w:hint="eastAsia"/>
                <w:sz w:val="28"/>
                <w:szCs w:val="28"/>
              </w:rPr>
              <w:t xml:space="preserve">2026</w:t>
            </w:r>
            <w:r>
              <w:rPr>
                <w:rFonts w:hint="eastAsia"/>
                <w:sz w:val="28"/>
                <w:szCs w:val="28"/>
              </w:rPr>
              <w:t xml:space="preserve">年</w:t>
            </w:r>
            <w:r>
              <w:rPr>
                <w:sz w:val="28"/>
                <w:szCs w:val="28"/>
              </w:rPr>
              <w:t xml:space="preserve">4</w:t>
            </w:r>
            <w:r>
              <w:rPr>
                <w:rFonts w:hint="eastAsia"/>
                <w:sz w:val="28"/>
                <w:szCs w:val="28"/>
              </w:rPr>
              <w:t xml:space="preserve">月</w:t>
            </w:r>
            <w:r>
              <w:rPr>
                <w:sz w:val="28"/>
                <w:szCs w:val="28"/>
              </w:rPr>
              <w:t xml:space="preserve">7</w:t>
            </w:r>
            <w:r>
              <w:rPr>
                <w:rFonts w:hint="eastAsia"/>
                <w:sz w:val="28"/>
                <w:szCs w:val="28"/>
              </w:rPr>
              <w:t xml:space="preserve">日</w:t>
            </w:r>
            <w:r>
              <w:rPr>
                <w:rFonts w:hint="eastAsia"/>
                <w:sz w:val="28"/>
                <w:szCs w:val="28"/>
              </w:rPr>
              <w:t xml:space="preserve">17</w:t>
            </w:r>
            <w:r>
              <w:rPr>
                <w:rFonts w:hint="eastAsia"/>
                <w:sz w:val="28"/>
                <w:szCs w:val="28"/>
              </w:rPr>
              <w:t xml:space="preserve">时</w:t>
            </w:r>
            <w:r>
              <w:rPr>
                <w:rFonts w:hint="eastAsia"/>
                <w:sz w:val="28"/>
                <w:szCs w:val="28"/>
              </w:rPr>
              <w:t xml:space="preserve">30</w:t>
            </w:r>
            <w:r>
              <w:rPr>
                <w:rFonts w:hint="eastAsia"/>
                <w:sz w:val="28"/>
                <w:szCs w:val="28"/>
              </w:rPr>
              <w:t xml:space="preserve">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（3）中小企业声明函（如有）</w:t>
            </w:r>
            <w:r/>
          </w:p>
          <w:p>
            <w:pPr>
              <w:spacing w:line="400" w:lineRule="exact"/>
              <w:rPr>
                <w:rFonts w:ascii="宋体" w:hAnsi="宋体" w:cs="宋体"/>
                <w:sz w:val="28"/>
              </w:rPr>
            </w:pPr>
            <w:r>
              <w:rPr>
                <w:rFonts w:hint="eastAsia" w:ascii="宋体" w:hAnsi="宋体" w:cs="宋体"/>
                <w:sz w:val="28"/>
              </w:rPr>
              <w:t xml:space="preserve">（4）关于符合本国产品标准的声明函（如有）；</w:t>
            </w:r>
            <w:r/>
          </w:p>
          <w:p>
            <w:pPr>
              <w:spacing w:line="400" w:lineRule="exact"/>
              <w:rPr>
                <w:rFonts w:ascii="宋体" w:hAnsi="宋体" w:cs="宋体"/>
                <w:sz w:val="28"/>
              </w:rPr>
            </w:pPr>
            <w:r>
              <w:rPr>
                <w:rFonts w:hint="eastAsia" w:ascii="宋体" w:hAnsi="宋体" w:cs="宋体"/>
                <w:sz w:val="28"/>
              </w:rPr>
              <w:t xml:space="preserve">（5）投标报价明细表及分析说明；</w:t>
            </w:r>
            <w:r/>
          </w:p>
          <w:p>
            <w:pPr>
              <w:spacing w:line="400" w:lineRule="exact"/>
              <w:rPr>
                <w:rFonts w:ascii="宋体" w:hAnsi="宋体" w:cs="宋体"/>
                <w:sz w:val="28"/>
              </w:rPr>
            </w:pPr>
            <w:r>
              <w:rPr>
                <w:rFonts w:hint="eastAsia" w:ascii="宋体" w:hAnsi="宋体" w:cs="宋体"/>
                <w:sz w:val="28"/>
              </w:rPr>
              <w:t xml:space="preserve">（6）资格性审查和符合性评审文件；</w:t>
            </w:r>
            <w:r/>
          </w:p>
          <w:p>
            <w:pPr>
              <w:spacing w:line="400" w:lineRule="exact"/>
              <w:rPr>
                <w:rFonts w:ascii="宋体" w:hAnsi="宋体" w:cs="宋体"/>
                <w:sz w:val="28"/>
              </w:rPr>
            </w:pPr>
            <w:r>
              <w:rPr>
                <w:rFonts w:hint="eastAsia" w:ascii="宋体" w:hAnsi="宋体" w:cs="宋体"/>
                <w:sz w:val="28"/>
              </w:rPr>
              <w:t xml:space="preserve">（7）采购需求响应表；</w:t>
            </w:r>
            <w:r/>
          </w:p>
          <w:p>
            <w:pPr>
              <w:spacing w:line="400" w:lineRule="exact"/>
              <w:rPr>
                <w:rFonts w:ascii="宋体" w:hAnsi="宋体" w:cs="宋体"/>
                <w:sz w:val="28"/>
              </w:rPr>
            </w:pPr>
            <w:r>
              <w:rPr>
                <w:rFonts w:hint="eastAsia" w:ascii="宋体" w:hAnsi="宋体" w:cs="宋体"/>
                <w:sz w:val="28"/>
              </w:rPr>
              <w:t xml:space="preserve">（8）对照第三章评标办法，认为应列入投标文件的其他材料。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910"/>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电子投标文件壹份。中标人提供两份与电子投标文件完全一致的纸质投标文件。</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spacing w:line="440" w:lineRule="exact"/>
              <w:rPr>
                <w:rFonts w:ascii="宋体" w:hAnsi="宋体" w:cs="宋体"/>
                <w:sz w:val="28"/>
              </w:rPr>
            </w:pPr>
            <w:r>
              <w:rPr>
                <w:rFonts w:hint="eastAsia" w:ascii="宋体" w:hAnsi="宋体" w:cs="宋体"/>
                <w:sz w:val="28"/>
              </w:rPr>
              <w:t xml:space="preserve">投标函、投标人基本资格条件承诺函中须加盖投标人法人章并经法定代表人签字或签章。</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83" w:name="EB72e20e40757d438698d0d924b6237fcc"/>
            <w:r/>
            <w:bookmarkEnd w:id="83"/>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投标人参与开标要求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开标活动将在招标公告中规定的时间和地点进行。投标人应当按照</w:t>
            </w:r>
            <w:r>
              <w:rPr>
                <w:rFonts w:hint="eastAsia" w:ascii="宋体" w:hAnsi="宋体"/>
                <w:b/>
                <w:sz w:val="28"/>
                <w:szCs w:val="28"/>
              </w:rPr>
              <w:t xml:space="preserve">《江苏省政府采购管理交易系统（苏采云）投标人操作手册》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人（含）以上单数。</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702"/>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pStyle w:val="776"/>
              <w:ind w:left="0"/>
              <w:spacing w:line="360" w:lineRule="exact"/>
              <w:rPr>
                <w:rFonts w:ascii="宋体" w:hAnsi="宋体"/>
                <w:sz w:val="28"/>
                <w:szCs w:val="28"/>
              </w:rPr>
            </w:pPr>
            <w:r>
              <w:rPr>
                <w:rFonts w:hint="eastAsia" w:ascii="宋体" w:hAnsi="宋体"/>
                <w:sz w:val="28"/>
                <w:szCs w:val="28"/>
              </w:rPr>
              <w:t xml:space="preserve">（1）形式：中标单位需提供由金融机构、担保机构出具的保函。</w:t>
            </w:r>
            <w:r/>
          </w:p>
          <w:p>
            <w:pPr>
              <w:pStyle w:val="776"/>
              <w:ind w:left="0"/>
              <w:jc w:val="left"/>
              <w:spacing w:line="360" w:lineRule="exact"/>
              <w:rPr>
                <w:rFonts w:ascii="宋体" w:hAnsi="宋体"/>
                <w:sz w:val="28"/>
                <w:szCs w:val="28"/>
              </w:rPr>
            </w:pPr>
            <w:r>
              <w:rPr>
                <w:rFonts w:hint="eastAsia" w:ascii="宋体" w:hAnsi="宋体"/>
                <w:sz w:val="28"/>
                <w:szCs w:val="28"/>
              </w:rPr>
              <w:t xml:space="preserve">（2）金额：合同价的10%</w:t>
            </w:r>
            <w:r/>
          </w:p>
          <w:p>
            <w:pPr>
              <w:jc w:val="left"/>
              <w:spacing w:line="360" w:lineRule="exact"/>
              <w:rPr>
                <w:rFonts w:ascii="宋体"/>
                <w:sz w:val="28"/>
                <w:szCs w:val="28"/>
              </w:rPr>
            </w:pPr>
            <w:r>
              <w:rPr>
                <w:rFonts w:hint="eastAsia" w:ascii="宋体" w:hAnsi="宋体"/>
                <w:sz w:val="28"/>
                <w:szCs w:val="28"/>
              </w:rPr>
              <w:t xml:space="preserve">（3）缴纳时间：在确定成交供应商之后，签订采购合同前。</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自中标通知书发出之日起</w:t>
            </w:r>
            <w:r>
              <w:rPr>
                <w:rFonts w:hint="eastAsia" w:ascii="宋体" w:hAnsi="宋体"/>
                <w:sz w:val="28"/>
                <w:szCs w:val="28"/>
                <w:u w:val="single"/>
              </w:rPr>
              <w:t xml:space="preserve">30</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9.3</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落实政府采购政策</w:t>
            </w:r>
            <w:r/>
          </w:p>
        </w:tc>
        <w:tc>
          <w:tcPr>
            <w:gridSpan w:val="2"/>
            <w:tcW w:w="6018" w:type="dxa"/>
            <w:textDirection w:val="lrTb"/>
            <w:noWrap w:val="false"/>
          </w:tcPr>
          <w:p>
            <w:pPr>
              <w:pStyle w:val="754"/>
              <w:numPr>
                <w:ilvl w:val="0"/>
                <w:numId w:val="2"/>
              </w:numPr>
              <w:spacing w:line="380" w:lineRule="exact"/>
              <w:rPr>
                <w:rFonts w:ascii="宋体" w:hAnsi="宋体"/>
                <w:sz w:val="28"/>
                <w:szCs w:val="28"/>
              </w:rPr>
            </w:pPr>
            <w:r>
              <w:rPr>
                <w:rFonts w:hint="eastAsia" w:ascii="宋体" w:hAnsi="宋体"/>
                <w:sz w:val="28"/>
                <w:szCs w:val="28"/>
              </w:rPr>
              <w:t xml:space="preserve">根据《政府采购促进中小企业发展管理办法》（财库【2020】46号）规定，对小型和微型生产企业生产的产品或承接的服务价格给予10%的扣除，用扣除后的价格参与评审。投标人应当提供《中小企业声明函》（格式见附件）</w:t>
            </w:r>
            <w:r/>
          </w:p>
          <w:p>
            <w:pPr>
              <w:pStyle w:val="754"/>
              <w:numPr>
                <w:ilvl w:val="0"/>
                <w:numId w:val="2"/>
              </w:numPr>
              <w:spacing w:line="380" w:lineRule="exact"/>
              <w:rPr>
                <w:rFonts w:ascii="宋体" w:hAnsi="宋体"/>
                <w:sz w:val="28"/>
                <w:szCs w:val="28"/>
              </w:rPr>
            </w:pPr>
            <w:r>
              <w:rPr>
                <w:rFonts w:hint="eastAsia" w:ascii="宋体" w:hAnsi="宋体"/>
                <w:sz w:val="28"/>
                <w:szCs w:val="28"/>
              </w:rPr>
              <w:t xml:space="preserve">根据《国务院办公厅关于在政府采购中实施本国产品标准及相关政策的通知》（国办发[2025]34号）规定，对本国产品的报价给予20%的价格扣除，用扣除后的价格参与评审。投标人应当提供《</w:t>
            </w:r>
            <w:r>
              <w:rPr>
                <w:rFonts w:hint="eastAsia" w:ascii="宋体" w:hAnsi="宋体" w:cs="宋体"/>
                <w:sz w:val="28"/>
              </w:rPr>
              <w:t xml:space="preserve">关于符合本国产品标准的声明函</w:t>
            </w:r>
            <w:r>
              <w:rPr>
                <w:rFonts w:hint="eastAsia" w:ascii="宋体" w:hAnsi="宋体"/>
                <w:sz w:val="28"/>
                <w:szCs w:val="28"/>
              </w:rPr>
              <w:t xml:space="preserve">》（格式见附件）</w:t>
            </w:r>
            <w:r/>
          </w:p>
        </w:tc>
      </w:tr>
      <w:tr>
        <w:trPr>
          <w:jc w:val="center"/>
          <w:trHeight w:val="90"/>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9.4</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1.投标人</w:t>
            </w:r>
            <w:r>
              <w:rPr>
                <w:rFonts w:ascii="宋体" w:hAnsi="宋体"/>
                <w:sz w:val="28"/>
                <w:szCs w:val="28"/>
              </w:rPr>
              <w:t xml:space="preserve">应仔细阅读和充分理解招标文件的采购需求和合同主要条款，根据自身实际情况并综合考虑合同履行过程中的各类风险</w:t>
            </w:r>
            <w:r>
              <w:rPr>
                <w:rFonts w:hint="eastAsia" w:ascii="宋体" w:hAnsi="宋体"/>
                <w:sz w:val="28"/>
                <w:szCs w:val="28"/>
              </w:rPr>
              <w:t xml:space="preserve">，</w:t>
            </w:r>
            <w:r>
              <w:rPr>
                <w:rFonts w:ascii="宋体" w:hAnsi="宋体"/>
                <w:sz w:val="28"/>
                <w:szCs w:val="28"/>
              </w:rPr>
              <w:t xml:space="preserve">理性报价。</w:t>
            </w:r>
            <w:r/>
          </w:p>
          <w:p>
            <w:pPr>
              <w:jc w:val="left"/>
              <w:spacing w:line="360" w:lineRule="exact"/>
              <w:rPr>
                <w:rFonts w:ascii="宋体" w:hAnsi="宋体"/>
                <w:sz w:val="28"/>
                <w:szCs w:val="28"/>
              </w:rPr>
            </w:pPr>
            <w:r>
              <w:rPr>
                <w:rFonts w:hint="eastAsia" w:ascii="宋体" w:hAnsi="宋体"/>
                <w:sz w:val="28"/>
                <w:szCs w:val="28"/>
              </w:rPr>
              <w:t xml:space="preserve">2.异常的低价可能会导致投标无效。</w:t>
            </w:r>
            <w:r/>
          </w:p>
        </w:tc>
      </w:tr>
      <w:tr>
        <w:trPr>
          <w:jc w:val="center"/>
          <w:trHeight w:val="473"/>
        </w:trPr>
        <w:tc>
          <w:tcPr>
            <w:tcW w:w="1089" w:type="dxa"/>
            <w:vAlign w:val="center"/>
            <w:textDirection w:val="lrTb"/>
            <w:noWrap w:val="false"/>
          </w:tcPr>
          <w:p>
            <w:pPr>
              <w:jc w:val="center"/>
              <w:spacing w:line="360" w:lineRule="exact"/>
              <w:rPr>
                <w:rFonts w:ascii="宋体" w:hAnsi="宋体"/>
                <w:b/>
                <w:sz w:val="28"/>
                <w:szCs w:val="28"/>
              </w:rPr>
            </w:pPr>
            <w:r/>
            <w:bookmarkStart w:id="84" w:name="_Toc426469871"/>
            <w:r/>
            <w:bookmarkStart w:id="85" w:name="_Toc367784995"/>
            <w:r>
              <w:rPr>
                <w:rFonts w:hint="eastAsia" w:ascii="宋体" w:hAnsi="宋体"/>
                <w:b/>
                <w:sz w:val="28"/>
                <w:szCs w:val="28"/>
              </w:rPr>
              <w:t xml:space="preserve">9.5</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核心产品</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害虫性诱智能测报仪</w:t>
            </w:r>
            <w:r/>
          </w:p>
        </w:tc>
      </w:tr>
      <w:tr>
        <w:trPr>
          <w:jc w:val="center"/>
          <w:trHeight w:val="64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9.6</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标的所属行业</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工业。</w:t>
            </w:r>
            <w:r/>
          </w:p>
        </w:tc>
      </w:tr>
      <w:tr>
        <w:trPr>
          <w:jc w:val="center"/>
          <w:trHeight w:val="50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w:t>
            </w:r>
            <w:r/>
          </w:p>
        </w:tc>
        <w:tc>
          <w:tcPr>
            <w:gridSpan w:val="3"/>
            <w:tcW w:w="853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补充条款</w:t>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9.7.1 </w:t>
            </w:r>
            <w:r/>
          </w:p>
        </w:tc>
        <w:tc>
          <w:tcPr>
            <w:gridSpan w:val="3"/>
            <w:tcW w:w="8539" w:type="dxa"/>
            <w:textDirection w:val="lrTb"/>
            <w:noWrap w:val="false"/>
          </w:tcPr>
          <w:p>
            <w:pPr>
              <w:jc w:val="left"/>
              <w:spacing w:line="360" w:lineRule="exact"/>
              <w:rPr>
                <w:rFonts w:ascii="宋体" w:hAnsi="宋体"/>
                <w:sz w:val="28"/>
                <w:szCs w:val="28"/>
              </w:rPr>
            </w:pPr>
            <w:r/>
            <w:bookmarkStart w:id="86" w:name="OLE_LINK111"/>
            <w:r/>
            <w:bookmarkStart w:id="87" w:name="OLE_LINK110"/>
            <w:r/>
            <w:bookmarkStart w:id="88" w:name="OLE_LINK115"/>
            <w:r/>
            <w:bookmarkStart w:id="89" w:name="OLE_LINK125"/>
            <w:r/>
            <w:bookmarkStart w:id="90" w:name="OLE_LINK109"/>
            <w:r/>
            <w:bookmarkStart w:id="91" w:name="OLE_LINK100"/>
            <w:r>
              <w:rPr>
                <w:rFonts w:hint="eastAsia" w:ascii="宋体" w:hAnsi="宋体"/>
                <w:sz w:val="28"/>
                <w:szCs w:val="28"/>
              </w:rPr>
              <w:t xml:space="preserve">本项目招标代理服务费按照苏政采协[2024]20号文件规定的80%计算</w:t>
            </w:r>
            <w:bookmarkEnd w:id="86"/>
            <w:r/>
            <w:bookmarkEnd w:id="87"/>
            <w:r/>
            <w:bookmarkEnd w:id="88"/>
            <w:r>
              <w:rPr>
                <w:rFonts w:hint="eastAsia" w:ascii="宋体" w:hAnsi="宋体"/>
                <w:sz w:val="28"/>
                <w:szCs w:val="28"/>
              </w:rPr>
              <w:t xml:space="preserve">，由中标人在领取中标通知书前支付给招标代理机构，招标人不另外支付。</w:t>
            </w:r>
            <w:bookmarkEnd w:id="89"/>
            <w:r/>
            <w:bookmarkEnd w:id="90"/>
            <w:r/>
            <w:bookmarkEnd w:id="91"/>
            <w:r/>
            <w:r/>
          </w:p>
        </w:tc>
      </w:tr>
      <w:tr>
        <w:trPr>
          <w:jc w:val="center"/>
          <w:trHeight w:val="90"/>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9.7.2</w:t>
            </w:r>
            <w:r/>
          </w:p>
        </w:tc>
        <w:tc>
          <w:tcPr>
            <w:gridSpan w:val="3"/>
            <w:tcW w:w="8539" w:type="dxa"/>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评标办法中要求上传的视频文件大小须满足开评标系统的要求。单个视频附件压缩包大小不得超过50M，整体附件压缩包不得超过300M，压缩包文件格式为zip格式。建议提前测试或咨询软件公司。</w:t>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9.7.3</w:t>
            </w:r>
            <w:r/>
          </w:p>
        </w:tc>
        <w:tc>
          <w:tcPr>
            <w:gridSpan w:val="3"/>
            <w:tcW w:w="8539" w:type="dxa"/>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中标人须在领取中标通知书后10天内提交以下设备的原厂质保函：5G智能无人巡田眼、农业遥感无人机（含机巢）、智能虫情测报灯、害虫性诱智能测报仪。若未按要求提供，招标人有权取消其中标资格，按中标候选人的顺序重新确定中标人或重新组织招投标。</w:t>
            </w:r>
            <w:r/>
          </w:p>
        </w:tc>
      </w:tr>
    </w:tbl>
    <w:p>
      <w:pPr>
        <w:spacing w:line="520" w:lineRule="exact"/>
        <w:rPr>
          <w:rFonts w:ascii="黑体" w:hAnsi="黑体" w:eastAsia="黑体"/>
          <w:sz w:val="32"/>
          <w:szCs w:val="32"/>
        </w:rPr>
      </w:pPr>
      <w:r>
        <w:rPr>
          <w:rFonts w:ascii="黑体" w:hAnsi="黑体" w:eastAsia="黑体"/>
          <w:sz w:val="32"/>
          <w:szCs w:val="32"/>
        </w:rPr>
        <w:t xml:space="preserve">1.</w:t>
      </w:r>
      <w:r>
        <w:rPr>
          <w:rFonts w:hint="eastAsia" w:ascii="黑体" w:hAnsi="黑体" w:eastAsia="黑体"/>
          <w:sz w:val="32"/>
          <w:szCs w:val="32"/>
        </w:rPr>
        <w:t xml:space="preserve">总则</w:t>
      </w:r>
      <w:bookmarkEnd w:id="84"/>
      <w:r/>
      <w:bookmarkEnd w:id="85"/>
      <w:r/>
      <w:r/>
    </w:p>
    <w:p>
      <w:pPr>
        <w:spacing w:line="520" w:lineRule="exact"/>
        <w:rPr>
          <w:rFonts w:ascii="楷体" w:hAnsi="楷体" w:eastAsia="楷体"/>
          <w:b/>
          <w:sz w:val="28"/>
          <w:szCs w:val="28"/>
        </w:rPr>
      </w:pPr>
      <w:r/>
      <w:bookmarkStart w:id="92" w:name="_Toc247085690"/>
      <w:r/>
      <w:bookmarkStart w:id="93" w:name="_Toc343525506"/>
      <w:r/>
      <w:bookmarkStart w:id="94" w:name="_Toc246996176"/>
      <w:r/>
      <w:bookmarkStart w:id="95" w:name="_Toc383438593"/>
      <w:r/>
      <w:bookmarkStart w:id="96" w:name="_Toc426469872"/>
      <w:r/>
      <w:bookmarkStart w:id="97" w:name="_Toc152045530"/>
      <w:r/>
      <w:bookmarkStart w:id="98" w:name="_Toc152042306"/>
      <w:r/>
      <w:bookmarkStart w:id="99" w:name="_Toc179632547"/>
      <w:r/>
      <w:bookmarkStart w:id="100" w:name="_Toc144974498"/>
      <w:r/>
      <w:bookmarkStart w:id="101" w:name="_Toc246996919"/>
      <w:r/>
      <w:bookmarkStart w:id="102"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92"/>
      <w:r/>
      <w:bookmarkEnd w:id="93"/>
      <w:r/>
      <w:bookmarkEnd w:id="94"/>
      <w:r/>
      <w:bookmarkEnd w:id="95"/>
      <w:r/>
      <w:bookmarkEnd w:id="96"/>
      <w:r/>
      <w:bookmarkEnd w:id="97"/>
      <w:r/>
      <w:bookmarkEnd w:id="98"/>
      <w:r/>
      <w:bookmarkEnd w:id="99"/>
      <w:r/>
      <w:bookmarkEnd w:id="100"/>
      <w:r/>
      <w:bookmarkEnd w:id="101"/>
      <w:r/>
      <w:r/>
    </w:p>
    <w:p>
      <w:pPr>
        <w:ind w:firstLine="560"/>
        <w:spacing w:line="52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52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招标人：见投标人须知前附表。</w:t>
      </w:r>
      <w:r/>
    </w:p>
    <w:p>
      <w:pPr>
        <w:ind w:firstLine="560"/>
        <w:spacing w:line="52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采购代理机构：见投标人须知前附表。</w:t>
      </w:r>
      <w:r/>
    </w:p>
    <w:p>
      <w:pPr>
        <w:ind w:firstLine="560"/>
        <w:spacing w:line="52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项目名称及项目编号：见投标人须知前附表。</w:t>
      </w:r>
      <w:r/>
    </w:p>
    <w:p>
      <w:pPr>
        <w:spacing w:line="520" w:lineRule="exact"/>
        <w:rPr>
          <w:rFonts w:ascii="楷体" w:hAnsi="楷体" w:eastAsia="楷体"/>
          <w:b/>
          <w:sz w:val="28"/>
          <w:szCs w:val="28"/>
        </w:rPr>
      </w:pPr>
      <w:r/>
      <w:bookmarkStart w:id="103" w:name="_Toc144974499"/>
      <w:r/>
      <w:bookmarkStart w:id="104" w:name="_Toc426469873"/>
      <w:r/>
      <w:bookmarkStart w:id="105" w:name="_Toc383438594"/>
      <w:r/>
      <w:bookmarkStart w:id="106" w:name="_Toc343525507"/>
      <w:r/>
      <w:bookmarkStart w:id="107" w:name="_Toc152045531"/>
      <w:r/>
      <w:bookmarkStart w:id="108" w:name="_Toc247085691"/>
      <w:r/>
      <w:bookmarkStart w:id="109" w:name="_Toc246996177"/>
      <w:r/>
      <w:bookmarkStart w:id="110" w:name="_Toc152042307"/>
      <w:r/>
      <w:bookmarkStart w:id="111" w:name="_Toc246996920"/>
      <w:r/>
      <w:bookmarkStart w:id="112" w:name="_Toc179632548"/>
      <w:r>
        <w:rPr>
          <w:rFonts w:ascii="楷体" w:hAnsi="楷体" w:eastAsia="楷体"/>
          <w:b/>
          <w:sz w:val="28"/>
          <w:szCs w:val="28"/>
        </w:rPr>
        <w:t xml:space="preserve">1.2</w:t>
      </w:r>
      <w:bookmarkEnd w:id="103"/>
      <w:r/>
      <w:bookmarkEnd w:id="104"/>
      <w:r/>
      <w:bookmarkEnd w:id="105"/>
      <w:r/>
      <w:bookmarkEnd w:id="106"/>
      <w:r/>
      <w:bookmarkEnd w:id="107"/>
      <w:r/>
      <w:bookmarkEnd w:id="108"/>
      <w:r/>
      <w:bookmarkEnd w:id="109"/>
      <w:r/>
      <w:bookmarkEnd w:id="110"/>
      <w:r/>
      <w:bookmarkEnd w:id="111"/>
      <w:r/>
      <w:bookmarkEnd w:id="112"/>
      <w:r>
        <w:rPr>
          <w:rFonts w:hint="eastAsia" w:ascii="楷体" w:hAnsi="楷体" w:eastAsia="楷体"/>
          <w:b/>
          <w:sz w:val="28"/>
          <w:szCs w:val="28"/>
        </w:rPr>
        <w:t xml:space="preserve">付款方式</w:t>
      </w:r>
      <w:r/>
    </w:p>
    <w:p>
      <w:pPr>
        <w:ind w:firstLine="560"/>
        <w:spacing w:line="52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付款方式：见投标人须知前附表。</w:t>
      </w:r>
      <w:r/>
    </w:p>
    <w:p>
      <w:pPr>
        <w:spacing w:line="520" w:lineRule="exact"/>
        <w:rPr>
          <w:rFonts w:ascii="楷体" w:hAnsi="楷体" w:eastAsia="楷体"/>
          <w:b/>
          <w:sz w:val="28"/>
          <w:szCs w:val="28"/>
        </w:rPr>
      </w:pPr>
      <w:r/>
      <w:bookmarkStart w:id="113" w:name="_Toc343525508"/>
      <w:r/>
      <w:bookmarkStart w:id="114" w:name="_Toc179632549"/>
      <w:r/>
      <w:bookmarkStart w:id="115" w:name="_Toc246996178"/>
      <w:r/>
      <w:bookmarkStart w:id="116" w:name="_Toc246996921"/>
      <w:r/>
      <w:bookmarkStart w:id="117" w:name="_Toc152042308"/>
      <w:r/>
      <w:bookmarkStart w:id="118" w:name="_Toc152045532"/>
      <w:r/>
      <w:bookmarkStart w:id="119" w:name="_Toc144974500"/>
      <w:r/>
      <w:bookmarkStart w:id="120" w:name="_Toc247085692"/>
      <w:r/>
      <w:bookmarkStart w:id="121" w:name="_Toc383438595"/>
      <w:r/>
      <w:bookmarkStart w:id="122" w:name="_Toc426469874"/>
      <w:r>
        <w:rPr>
          <w:rFonts w:ascii="楷体" w:hAnsi="楷体" w:eastAsia="楷体"/>
          <w:b/>
          <w:sz w:val="28"/>
          <w:szCs w:val="28"/>
        </w:rPr>
        <w:t xml:space="preserve">1.3 </w:t>
      </w:r>
      <w:bookmarkEnd w:id="113"/>
      <w:r/>
      <w:bookmarkEnd w:id="114"/>
      <w:r/>
      <w:bookmarkEnd w:id="115"/>
      <w:r/>
      <w:bookmarkEnd w:id="116"/>
      <w:r/>
      <w:bookmarkEnd w:id="117"/>
      <w:r/>
      <w:bookmarkEnd w:id="118"/>
      <w:r/>
      <w:bookmarkEnd w:id="119"/>
      <w:r/>
      <w:bookmarkEnd w:id="120"/>
      <w:r/>
      <w:bookmarkEnd w:id="121"/>
      <w:r>
        <w:rPr>
          <w:rFonts w:hint="eastAsia" w:ascii="楷体" w:hAnsi="楷体" w:eastAsia="楷体"/>
          <w:b/>
          <w:sz w:val="28"/>
          <w:szCs w:val="28"/>
        </w:rPr>
        <w:t xml:space="preserve">采购范围</w:t>
      </w:r>
      <w:bookmarkEnd w:id="122"/>
      <w:r>
        <w:rPr>
          <w:rFonts w:hint="eastAsia" w:ascii="楷体" w:hAnsi="楷体" w:eastAsia="楷体"/>
          <w:b/>
          <w:sz w:val="28"/>
          <w:szCs w:val="28"/>
        </w:rPr>
        <w:t xml:space="preserve">与合同履行期限</w:t>
      </w:r>
      <w:r/>
    </w:p>
    <w:p>
      <w:pPr>
        <w:ind w:firstLine="560"/>
        <w:spacing w:line="52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采购范围：见投标人须知前附表。</w:t>
      </w:r>
      <w:r/>
    </w:p>
    <w:p>
      <w:pPr>
        <w:ind w:firstLine="560"/>
        <w:spacing w:line="52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合同履行期限：见投标人须知前附表。</w:t>
      </w:r>
      <w:r/>
    </w:p>
    <w:p>
      <w:pPr>
        <w:spacing w:line="520" w:lineRule="exact"/>
        <w:rPr>
          <w:rFonts w:ascii="楷体" w:hAnsi="楷体" w:eastAsia="楷体"/>
          <w:b/>
          <w:sz w:val="28"/>
          <w:szCs w:val="28"/>
        </w:rPr>
      </w:pPr>
      <w:r/>
      <w:bookmarkStart w:id="123" w:name="_Toc383438596"/>
      <w:r/>
      <w:bookmarkStart w:id="124" w:name="_Toc247085693"/>
      <w:r/>
      <w:bookmarkStart w:id="125" w:name="_Toc343525509"/>
      <w:r/>
      <w:bookmarkStart w:id="126" w:name="_Toc152045534"/>
      <w:r/>
      <w:bookmarkStart w:id="127" w:name="_Toc152042310"/>
      <w:r/>
      <w:bookmarkStart w:id="128" w:name="_Toc144974502"/>
      <w:r/>
      <w:bookmarkStart w:id="129" w:name="_Toc426469875"/>
      <w:r/>
      <w:bookmarkStart w:id="130" w:name="_Toc246996179"/>
      <w:r/>
      <w:bookmarkStart w:id="131" w:name="_Toc246996922"/>
      <w:r/>
      <w:bookmarkStart w:id="132" w:name="_Toc179632551"/>
      <w:r>
        <w:rPr>
          <w:rFonts w:ascii="楷体" w:hAnsi="楷体" w:eastAsia="楷体"/>
          <w:b/>
          <w:sz w:val="28"/>
          <w:szCs w:val="28"/>
        </w:rPr>
        <w:t xml:space="preserve">1.4 </w:t>
      </w:r>
      <w:r>
        <w:rPr>
          <w:rFonts w:hint="eastAsia" w:ascii="楷体" w:hAnsi="楷体" w:eastAsia="楷体"/>
          <w:b/>
          <w:sz w:val="28"/>
          <w:szCs w:val="28"/>
        </w:rPr>
        <w:t xml:space="preserve">投标人资格要求</w:t>
      </w:r>
      <w:bookmarkEnd w:id="123"/>
      <w:r/>
      <w:bookmarkEnd w:id="124"/>
      <w:r/>
      <w:bookmarkEnd w:id="125"/>
      <w:r/>
      <w:bookmarkEnd w:id="126"/>
      <w:r/>
      <w:bookmarkEnd w:id="127"/>
      <w:r/>
      <w:bookmarkEnd w:id="128"/>
      <w:r/>
      <w:bookmarkEnd w:id="129"/>
      <w:r/>
      <w:bookmarkEnd w:id="130"/>
      <w:r/>
      <w:bookmarkEnd w:id="131"/>
      <w:r/>
      <w:bookmarkEnd w:id="132"/>
      <w:r/>
      <w:r/>
    </w:p>
    <w:p>
      <w:pPr>
        <w:ind w:firstLine="560"/>
        <w:spacing w:line="52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投标人参加政府采购活动应当具备下列条件：</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）参加政府采购活动前三年内，在经营活动中没有重大违法记录，无贿赂工作人员等违法记录；</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520" w:lineRule="exact"/>
        <w:rPr>
          <w:rFonts w:ascii="宋体" w:hAnsi="宋体" w:cs="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w:t>
      </w:r>
      <w:r>
        <w:rPr>
          <w:rFonts w:hint="eastAsia" w:ascii="宋体" w:hAnsi="宋体"/>
          <w:sz w:val="28"/>
          <w:szCs w:val="28"/>
        </w:rPr>
        <w:t xml:space="preserve">要求投标人具备</w:t>
      </w:r>
      <w:r>
        <w:rPr>
          <w:rFonts w:hint="eastAsia" w:ascii="宋体" w:hAnsi="宋体" w:cs="宋体"/>
          <w:sz w:val="28"/>
          <w:szCs w:val="28"/>
        </w:rPr>
        <w:t xml:space="preserve">的特定资格要求：见投</w:t>
      </w:r>
      <w:r/>
    </w:p>
    <w:p>
      <w:pPr>
        <w:spacing w:line="520" w:lineRule="exact"/>
        <w:rPr>
          <w:rFonts w:ascii="宋体"/>
          <w:sz w:val="28"/>
          <w:szCs w:val="28"/>
        </w:rPr>
      </w:pPr>
      <w:r>
        <w:rPr>
          <w:rFonts w:hint="eastAsia" w:ascii="宋体" w:hAnsi="宋体" w:cs="宋体"/>
          <w:sz w:val="28"/>
          <w:szCs w:val="28"/>
        </w:rPr>
        <w:t xml:space="preserve">标人须知前附表。</w:t>
      </w:r>
      <w:r/>
    </w:p>
    <w:p>
      <w:pPr>
        <w:spacing w:line="52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投标人不得存在下列情形之一：</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）单位负责人为同一人或者存在直接控股、管理关系的不同投标人，参加同一合同项下的政府采购活动。</w:t>
      </w:r>
      <w:r/>
    </w:p>
    <w:p>
      <w:pPr>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）法律、行政法规规定的其他条件。</w:t>
      </w:r>
      <w:r/>
    </w:p>
    <w:p>
      <w:pPr>
        <w:spacing w:line="520" w:lineRule="exact"/>
        <w:rPr>
          <w:rFonts w:ascii="楷体" w:hAnsi="楷体" w:eastAsia="楷体"/>
          <w:b/>
          <w:sz w:val="28"/>
          <w:szCs w:val="28"/>
        </w:rPr>
      </w:pPr>
      <w:r/>
      <w:bookmarkStart w:id="133" w:name="_Toc179632552"/>
      <w:r/>
      <w:bookmarkStart w:id="134" w:name="_Toc152042311"/>
      <w:r/>
      <w:bookmarkStart w:id="135" w:name="_Toc246996180"/>
      <w:r/>
      <w:bookmarkStart w:id="136" w:name="_Toc152045535"/>
      <w:r/>
      <w:bookmarkStart w:id="137" w:name="_Toc144974503"/>
      <w:r/>
      <w:bookmarkStart w:id="138" w:name="_Toc246996923"/>
      <w:r/>
      <w:bookmarkStart w:id="139" w:name="_Toc247085694"/>
      <w:r/>
      <w:bookmarkStart w:id="140" w:name="_Toc426469876"/>
      <w:r/>
      <w:bookmarkStart w:id="141" w:name="_Toc343525510"/>
      <w:r/>
      <w:bookmarkStart w:id="142" w:name="_Toc383438597"/>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133"/>
      <w:r/>
      <w:bookmarkEnd w:id="134"/>
      <w:r/>
      <w:bookmarkEnd w:id="135"/>
      <w:r/>
      <w:bookmarkEnd w:id="136"/>
      <w:r/>
      <w:bookmarkEnd w:id="137"/>
      <w:r/>
      <w:bookmarkEnd w:id="138"/>
      <w:r/>
      <w:bookmarkEnd w:id="139"/>
      <w:r/>
      <w:bookmarkEnd w:id="140"/>
      <w:r/>
      <w:bookmarkEnd w:id="141"/>
      <w:r/>
      <w:bookmarkEnd w:id="142"/>
      <w:r/>
      <w:r/>
    </w:p>
    <w:p>
      <w:pPr>
        <w:ind w:firstLine="560"/>
        <w:spacing w:line="520" w:lineRule="exact"/>
        <w:rPr>
          <w:rFonts w:ascii="宋体"/>
          <w:sz w:val="28"/>
          <w:szCs w:val="28"/>
        </w:rPr>
      </w:pPr>
      <w:r>
        <w:rPr>
          <w:rFonts w:hint="eastAsia" w:ascii="宋体" w:hAnsi="宋体" w:cs="宋体"/>
          <w:sz w:val="28"/>
          <w:szCs w:val="28"/>
        </w:rPr>
        <w:t xml:space="preserve">无论采购结果如何，投标人为准备和参加投标活动发生的费用自理。</w:t>
      </w:r>
      <w:r/>
    </w:p>
    <w:p>
      <w:pPr>
        <w:spacing w:line="520" w:lineRule="exact"/>
        <w:rPr>
          <w:rFonts w:ascii="楷体" w:hAnsi="楷体" w:eastAsia="楷体"/>
          <w:b/>
          <w:sz w:val="28"/>
          <w:szCs w:val="28"/>
        </w:rPr>
      </w:pPr>
      <w:r/>
      <w:bookmarkStart w:id="143" w:name="_Toc144974505"/>
      <w:r/>
      <w:bookmarkStart w:id="144" w:name="_Toc426469878"/>
      <w:r/>
      <w:bookmarkStart w:id="145" w:name="_Toc246996925"/>
      <w:r/>
      <w:bookmarkStart w:id="146" w:name="_Toc246996182"/>
      <w:r/>
      <w:bookmarkStart w:id="147" w:name="_Toc247085696"/>
      <w:r/>
      <w:bookmarkStart w:id="148" w:name="_Toc179632554"/>
      <w:r/>
      <w:bookmarkStart w:id="149" w:name="_Toc152042313"/>
      <w:r/>
      <w:bookmarkStart w:id="150" w:name="_Toc383438599"/>
      <w:r/>
      <w:bookmarkStart w:id="151" w:name="_Toc343525512"/>
      <w:r/>
      <w:bookmarkStart w:id="152" w:name="_Toc152045537"/>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43"/>
      <w:r>
        <w:rPr>
          <w:rFonts w:hint="eastAsia" w:ascii="楷体" w:hAnsi="楷体" w:eastAsia="楷体" w:cs="宋体"/>
          <w:b/>
          <w:sz w:val="28"/>
          <w:szCs w:val="28"/>
        </w:rPr>
        <w:t xml:space="preserve">文字</w:t>
      </w:r>
      <w:bookmarkEnd w:id="144"/>
      <w:r/>
      <w:bookmarkEnd w:id="145"/>
      <w:r/>
      <w:bookmarkEnd w:id="146"/>
      <w:r/>
      <w:bookmarkEnd w:id="147"/>
      <w:r/>
      <w:bookmarkEnd w:id="148"/>
      <w:r/>
      <w:bookmarkEnd w:id="149"/>
      <w:r/>
      <w:bookmarkEnd w:id="150"/>
      <w:r/>
      <w:bookmarkEnd w:id="151"/>
      <w:r/>
      <w:bookmarkEnd w:id="152"/>
      <w:r/>
      <w:r/>
    </w:p>
    <w:p>
      <w:pPr>
        <w:ind w:firstLine="560"/>
        <w:spacing w:line="520" w:lineRule="exact"/>
        <w:rPr>
          <w:rFonts w:ascii="宋体"/>
          <w:sz w:val="28"/>
          <w:szCs w:val="28"/>
        </w:rPr>
      </w:pPr>
      <w:r/>
      <w:bookmarkStart w:id="153" w:name="_Toc246996926"/>
      <w:r/>
      <w:bookmarkStart w:id="154" w:name="_Toc247085697"/>
      <w:r/>
      <w:bookmarkStart w:id="155" w:name="_Toc152042314"/>
      <w:r/>
      <w:bookmarkStart w:id="156" w:name="_Toc152045538"/>
      <w:r/>
      <w:bookmarkStart w:id="157" w:name="_Toc179632555"/>
      <w:r/>
      <w:bookmarkStart w:id="158" w:name="_Toc144974506"/>
      <w:r/>
      <w:bookmarkStart w:id="159" w:name="_Toc246996183"/>
      <w:r>
        <w:rPr>
          <w:rFonts w:hint="eastAsia" w:ascii="宋体" w:hAnsi="宋体" w:cs="宋体"/>
          <w:sz w:val="28"/>
          <w:szCs w:val="28"/>
        </w:rPr>
        <w:t xml:space="preserve">招投标文件使用的语言文字为中文。专用术语使用外文的，应附有中文注释。</w:t>
      </w:r>
      <w:r/>
    </w:p>
    <w:p>
      <w:pPr>
        <w:spacing w:line="520" w:lineRule="exact"/>
        <w:rPr>
          <w:rFonts w:ascii="楷体" w:hAnsi="楷体" w:eastAsia="楷体"/>
          <w:b/>
          <w:sz w:val="28"/>
          <w:szCs w:val="28"/>
        </w:rPr>
      </w:pPr>
      <w:r/>
      <w:bookmarkStart w:id="160" w:name="_Toc383438600"/>
      <w:r/>
      <w:bookmarkStart w:id="161" w:name="_Toc426469879"/>
      <w:r/>
      <w:bookmarkStart w:id="162" w:name="_Toc343525513"/>
      <w:r>
        <w:rPr>
          <w:rFonts w:ascii="楷体" w:hAnsi="楷体" w:eastAsia="楷体"/>
          <w:b/>
          <w:sz w:val="28"/>
          <w:szCs w:val="28"/>
        </w:rPr>
        <w:t xml:space="preserve">1.</w:t>
      </w:r>
      <w:r>
        <w:rPr>
          <w:rFonts w:hint="eastAsia" w:ascii="楷体" w:hAnsi="楷体" w:eastAsia="楷体"/>
          <w:b/>
          <w:sz w:val="28"/>
          <w:szCs w:val="28"/>
        </w:rPr>
        <w:t xml:space="preserve">7</w:t>
      </w:r>
      <w:r>
        <w:rPr>
          <w:rFonts w:hint="eastAsia" w:ascii="楷体" w:hAnsi="楷体" w:eastAsia="楷体" w:cs="宋体"/>
          <w:b/>
          <w:sz w:val="28"/>
          <w:szCs w:val="28"/>
        </w:rPr>
        <w:t xml:space="preserve">计量单位</w:t>
      </w:r>
      <w:bookmarkEnd w:id="153"/>
      <w:r/>
      <w:bookmarkEnd w:id="154"/>
      <w:r/>
      <w:bookmarkEnd w:id="155"/>
      <w:r/>
      <w:bookmarkEnd w:id="156"/>
      <w:r/>
      <w:bookmarkEnd w:id="157"/>
      <w:r/>
      <w:bookmarkEnd w:id="158"/>
      <w:r/>
      <w:bookmarkEnd w:id="159"/>
      <w:r/>
      <w:bookmarkEnd w:id="160"/>
      <w:r/>
      <w:bookmarkEnd w:id="161"/>
      <w:r/>
      <w:bookmarkEnd w:id="162"/>
      <w:r/>
      <w:r/>
    </w:p>
    <w:p>
      <w:pPr>
        <w:ind w:firstLine="560"/>
        <w:spacing w:line="52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520" w:lineRule="exact"/>
        <w:rPr>
          <w:rFonts w:ascii="楷体" w:hAnsi="楷体" w:eastAsia="楷体"/>
          <w:b/>
          <w:sz w:val="28"/>
          <w:szCs w:val="28"/>
        </w:rPr>
      </w:pPr>
      <w:r/>
      <w:bookmarkStart w:id="163"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63"/>
      <w:r/>
      <w:r/>
    </w:p>
    <w:p>
      <w:pPr>
        <w:ind w:firstLine="560"/>
        <w:spacing w:line="52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w:t>
      </w:r>
      <w:r>
        <w:rPr>
          <w:rFonts w:hint="eastAsia" w:ascii="宋体" w:hAnsi="宋体" w:cs="宋体"/>
          <w:sz w:val="28"/>
          <w:szCs w:val="28"/>
        </w:rPr>
        <w:t xml:space="preserve">服务要求的为正偏离，反之为负偏离。</w:t>
      </w:r>
      <w:r/>
    </w:p>
    <w:p>
      <w:pPr>
        <w:ind w:firstLine="560"/>
        <w:spacing w:line="52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偏离的具体要求见投标人须知前附表。</w:t>
      </w:r>
      <w:r/>
    </w:p>
    <w:p>
      <w:pPr>
        <w:spacing w:line="520" w:lineRule="exact"/>
        <w:rPr>
          <w:rFonts w:ascii="黑体" w:hAnsi="黑体" w:eastAsia="黑体"/>
          <w:sz w:val="32"/>
          <w:szCs w:val="32"/>
        </w:rPr>
      </w:pPr>
      <w:r/>
      <w:bookmarkStart w:id="164" w:name="_Toc383438604"/>
      <w:r/>
      <w:bookmarkStart w:id="165" w:name="_Toc343525517"/>
      <w:r/>
      <w:bookmarkStart w:id="166" w:name="_Toc426469882"/>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64"/>
      <w:r/>
      <w:bookmarkEnd w:id="165"/>
      <w:r/>
      <w:bookmarkEnd w:id="166"/>
      <w:r/>
      <w:r/>
    </w:p>
    <w:p>
      <w:pPr>
        <w:spacing w:line="520" w:lineRule="exact"/>
        <w:rPr>
          <w:rFonts w:ascii="楷体" w:hAnsi="楷体" w:eastAsia="楷体"/>
          <w:b/>
          <w:sz w:val="28"/>
          <w:szCs w:val="28"/>
        </w:rPr>
      </w:pPr>
      <w:r/>
      <w:bookmarkStart w:id="167" w:name="_Toc343525518"/>
      <w:r/>
      <w:bookmarkStart w:id="168" w:name="_Toc144974511"/>
      <w:r/>
      <w:bookmarkStart w:id="169" w:name="_Toc246996188"/>
      <w:r/>
      <w:bookmarkStart w:id="170" w:name="_Toc383438605"/>
      <w:r/>
      <w:bookmarkStart w:id="171" w:name="_Toc179632561"/>
      <w:r/>
      <w:bookmarkStart w:id="172" w:name="_Toc152042319"/>
      <w:r/>
      <w:bookmarkStart w:id="173" w:name="_Toc246996931"/>
      <w:r/>
      <w:bookmarkStart w:id="174" w:name="_Toc426469883"/>
      <w:r/>
      <w:bookmarkStart w:id="175" w:name="_Toc152045543"/>
      <w:r/>
      <w:bookmarkStart w:id="176" w:name="_Toc247085702"/>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67"/>
      <w:r/>
      <w:bookmarkEnd w:id="168"/>
      <w:r/>
      <w:bookmarkEnd w:id="169"/>
      <w:r/>
      <w:bookmarkEnd w:id="170"/>
      <w:r/>
      <w:bookmarkEnd w:id="171"/>
      <w:r/>
      <w:bookmarkEnd w:id="172"/>
      <w:r/>
      <w:bookmarkEnd w:id="173"/>
      <w:r/>
      <w:bookmarkEnd w:id="174"/>
      <w:r/>
      <w:bookmarkEnd w:id="175"/>
      <w:r/>
      <w:bookmarkEnd w:id="176"/>
      <w:r/>
      <w:r/>
    </w:p>
    <w:p>
      <w:pPr>
        <w:ind w:firstLine="560"/>
        <w:spacing w:line="52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）投标人须知；</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520" w:lineRule="exact"/>
        <w:rPr>
          <w:rFonts w:ascii="宋体" w:hAns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）投标文件的编制要求及参考格式；</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6</w:t>
      </w:r>
      <w:r>
        <w:rPr>
          <w:rFonts w:hint="eastAsia" w:ascii="宋体" w:hAnsi="宋体" w:cs="宋体"/>
          <w:sz w:val="28"/>
          <w:szCs w:val="28"/>
        </w:rPr>
        <w:t xml:space="preserve">）投标人须知前附表规定的构成招标文件的其他材料；</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7</w:t>
      </w:r>
      <w:r>
        <w:rPr>
          <w:rFonts w:hint="eastAsia" w:ascii="宋体" w:hAnsi="宋体" w:cs="宋体"/>
          <w:sz w:val="28"/>
          <w:szCs w:val="28"/>
        </w:rPr>
        <w:t xml:space="preserve">）合同条款及格式。</w:t>
      </w:r>
      <w:r/>
    </w:p>
    <w:p>
      <w:pPr>
        <w:ind w:firstLine="560"/>
        <w:spacing w:line="52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520" w:lineRule="exact"/>
        <w:rPr>
          <w:rFonts w:ascii="楷体" w:hAnsi="楷体" w:eastAsia="楷体"/>
          <w:b/>
          <w:sz w:val="28"/>
          <w:szCs w:val="28"/>
        </w:rPr>
      </w:pPr>
      <w:r/>
      <w:bookmarkStart w:id="177" w:name="_Toc426469884"/>
      <w:r/>
      <w:bookmarkStart w:id="178" w:name="_Toc152042320"/>
      <w:r/>
      <w:bookmarkStart w:id="179" w:name="_Toc246996189"/>
      <w:r/>
      <w:bookmarkStart w:id="180" w:name="_Toc246996932"/>
      <w:r/>
      <w:bookmarkStart w:id="181" w:name="_Toc343525519"/>
      <w:r/>
      <w:bookmarkStart w:id="182" w:name="_Toc144974512"/>
      <w:r/>
      <w:bookmarkStart w:id="183" w:name="_Toc179632562"/>
      <w:r/>
      <w:bookmarkStart w:id="184" w:name="_Toc247085703"/>
      <w:r/>
      <w:bookmarkStart w:id="185" w:name="_Toc383438606"/>
      <w:r/>
      <w:bookmarkStart w:id="186" w:name="_Toc152045544"/>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77"/>
      <w:r/>
      <w:bookmarkEnd w:id="178"/>
      <w:r/>
      <w:bookmarkEnd w:id="179"/>
      <w:r/>
      <w:bookmarkEnd w:id="180"/>
      <w:r/>
      <w:bookmarkEnd w:id="181"/>
      <w:r/>
      <w:bookmarkEnd w:id="182"/>
      <w:r/>
      <w:bookmarkEnd w:id="183"/>
      <w:r/>
      <w:bookmarkEnd w:id="184"/>
      <w:r/>
      <w:bookmarkEnd w:id="185"/>
      <w:r/>
      <w:bookmarkEnd w:id="186"/>
      <w:r/>
      <w:r/>
    </w:p>
    <w:p>
      <w:pPr>
        <w:ind w:firstLine="560"/>
        <w:spacing w:line="520" w:lineRule="exact"/>
        <w:rPr>
          <w:rFonts w:ascii="宋体"/>
          <w:sz w:val="28"/>
          <w:szCs w:val="28"/>
        </w:rPr>
      </w:pPr>
      <w:r>
        <w:rPr>
          <w:rFonts w:hint="eastAsia" w:ascii="宋体" w:hAnsi="宋体" w:cs="宋体"/>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560"/>
        <w:spacing w:line="52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520" w:lineRule="exact"/>
        <w:rPr>
          <w:rFonts w:ascii="楷体" w:hAnsi="楷体" w:eastAsia="楷体"/>
          <w:b/>
          <w:sz w:val="28"/>
          <w:szCs w:val="28"/>
        </w:rPr>
      </w:pPr>
      <w:r/>
      <w:bookmarkStart w:id="187" w:name="_Toc144974513"/>
      <w:r/>
      <w:bookmarkStart w:id="188" w:name="_Toc343525520"/>
      <w:r/>
      <w:bookmarkStart w:id="189" w:name="_Toc246996933"/>
      <w:r/>
      <w:bookmarkStart w:id="190" w:name="_Toc246996190"/>
      <w:r/>
      <w:bookmarkStart w:id="191" w:name="_Toc426469885"/>
      <w:r/>
      <w:bookmarkStart w:id="192" w:name="_Toc383438607"/>
      <w:r/>
      <w:bookmarkStart w:id="193" w:name="_Toc152042321"/>
      <w:r/>
      <w:bookmarkStart w:id="194" w:name="_Toc152045545"/>
      <w:r/>
      <w:bookmarkStart w:id="195" w:name="_Toc179632563"/>
      <w:r/>
      <w:bookmarkStart w:id="196" w:name="_Toc247085704"/>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87"/>
      <w:r/>
      <w:bookmarkEnd w:id="188"/>
      <w:r/>
      <w:bookmarkEnd w:id="189"/>
      <w:r/>
      <w:bookmarkEnd w:id="190"/>
      <w:r/>
      <w:bookmarkEnd w:id="191"/>
      <w:r/>
      <w:bookmarkEnd w:id="192"/>
      <w:r/>
      <w:bookmarkEnd w:id="193"/>
      <w:r/>
      <w:bookmarkEnd w:id="194"/>
      <w:r/>
      <w:bookmarkEnd w:id="195"/>
      <w:r/>
      <w:bookmarkEnd w:id="196"/>
      <w:r/>
      <w:r/>
    </w:p>
    <w:p>
      <w:pPr>
        <w:ind w:firstLine="560"/>
        <w:spacing w:line="52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w:t>
      </w:r>
      <w:r>
        <w:rPr>
          <w:rFonts w:hint="eastAsia" w:ascii="宋体" w:hAnsi="宋体" w:cs="宋体"/>
          <w:sz w:val="28"/>
          <w:szCs w:val="28"/>
        </w:rPr>
        <w:t xml:space="preserve">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52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52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520" w:lineRule="exact"/>
        <w:rPr>
          <w:rFonts w:ascii="黑体" w:hAnsi="黑体" w:eastAsia="黑体"/>
          <w:b/>
          <w:sz w:val="32"/>
          <w:szCs w:val="32"/>
        </w:rPr>
      </w:pPr>
      <w:r/>
      <w:bookmarkStart w:id="197" w:name="_Toc343525522"/>
      <w:r/>
      <w:bookmarkStart w:id="198" w:name="_Toc247085705"/>
      <w:r/>
      <w:bookmarkStart w:id="199" w:name="_Toc246996191"/>
      <w:r/>
      <w:bookmarkStart w:id="200" w:name="_Toc179632564"/>
      <w:r/>
      <w:bookmarkStart w:id="201" w:name="_Toc152045546"/>
      <w:r/>
      <w:bookmarkStart w:id="202" w:name="_Toc383438609"/>
      <w:r/>
      <w:bookmarkStart w:id="203" w:name="_Toc246996934"/>
      <w:r/>
      <w:bookmarkStart w:id="204" w:name="_Toc144974514"/>
      <w:r/>
      <w:bookmarkStart w:id="205" w:name="_Toc152042322"/>
      <w:r/>
      <w:bookmarkStart w:id="206"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97"/>
      <w:r/>
      <w:bookmarkEnd w:id="198"/>
      <w:r/>
      <w:bookmarkEnd w:id="199"/>
      <w:r/>
      <w:bookmarkEnd w:id="200"/>
      <w:r/>
      <w:bookmarkEnd w:id="201"/>
      <w:r/>
      <w:bookmarkEnd w:id="202"/>
      <w:r/>
      <w:bookmarkEnd w:id="203"/>
      <w:r/>
      <w:bookmarkEnd w:id="204"/>
      <w:r/>
      <w:bookmarkEnd w:id="205"/>
      <w:r>
        <w:rPr>
          <w:rFonts w:hint="eastAsia" w:ascii="黑体" w:hAnsi="黑体" w:eastAsia="黑体" w:cs="宋体"/>
          <w:b/>
          <w:sz w:val="32"/>
          <w:szCs w:val="32"/>
        </w:rPr>
        <w:t xml:space="preserve">文件</w:t>
      </w:r>
      <w:bookmarkEnd w:id="206"/>
      <w:r/>
      <w:r/>
    </w:p>
    <w:p>
      <w:pPr>
        <w:spacing w:line="520" w:lineRule="exact"/>
        <w:rPr>
          <w:rFonts w:ascii="楷体" w:hAnsi="楷体" w:eastAsia="楷体" w:cs="宋体"/>
          <w:b/>
          <w:sz w:val="28"/>
          <w:szCs w:val="28"/>
        </w:rPr>
      </w:pPr>
      <w:r/>
      <w:bookmarkStart w:id="207" w:name="_Toc144974515"/>
      <w:r/>
      <w:bookmarkStart w:id="208" w:name="_Toc247085706"/>
      <w:r/>
      <w:bookmarkStart w:id="209" w:name="_Toc246996192"/>
      <w:r/>
      <w:bookmarkStart w:id="210" w:name="_Toc152042323"/>
      <w:r/>
      <w:bookmarkStart w:id="211" w:name="_Toc246996935"/>
      <w:r/>
      <w:bookmarkStart w:id="212" w:name="_Toc343525523"/>
      <w:r/>
      <w:bookmarkStart w:id="213" w:name="_Toc383438610"/>
      <w:r/>
      <w:bookmarkStart w:id="214" w:name="_Toc152045547"/>
      <w:r/>
      <w:bookmarkStart w:id="215" w:name="_Toc179632565"/>
      <w:r/>
      <w:bookmarkStart w:id="216" w:name="_Toc426469888"/>
      <w:r>
        <w:rPr>
          <w:rFonts w:ascii="楷体" w:hAnsi="楷体" w:eastAsia="楷体"/>
          <w:b/>
          <w:sz w:val="28"/>
          <w:szCs w:val="28"/>
        </w:rPr>
        <w:t xml:space="preserve">3</w:t>
      </w:r>
      <w:r>
        <w:rPr>
          <w:rFonts w:ascii="楷体" w:hAnsi="楷体" w:eastAsia="楷体" w:cs="宋体"/>
          <w:b/>
          <w:sz w:val="28"/>
          <w:szCs w:val="28"/>
        </w:rPr>
        <w:t xml:space="preserve">.1</w:t>
      </w:r>
      <w:bookmarkEnd w:id="207"/>
      <w:r/>
      <w:bookmarkEnd w:id="208"/>
      <w:r/>
      <w:bookmarkEnd w:id="209"/>
      <w:r/>
      <w:bookmarkEnd w:id="210"/>
      <w:r/>
      <w:bookmarkEnd w:id="211"/>
      <w:r/>
      <w:bookmarkEnd w:id="212"/>
      <w:r/>
      <w:bookmarkEnd w:id="213"/>
      <w:r/>
      <w:bookmarkEnd w:id="214"/>
      <w:r/>
      <w:bookmarkEnd w:id="215"/>
      <w:r>
        <w:rPr>
          <w:rFonts w:hint="eastAsia" w:ascii="楷体" w:hAnsi="楷体" w:eastAsia="楷体" w:cs="宋体"/>
          <w:b/>
          <w:sz w:val="28"/>
          <w:szCs w:val="28"/>
        </w:rPr>
        <w:t xml:space="preserve">投标文件的组成</w:t>
      </w:r>
      <w:bookmarkEnd w:id="216"/>
      <w:r/>
      <w:r/>
    </w:p>
    <w:p>
      <w:pPr>
        <w:ind w:firstLine="560"/>
        <w:spacing w:line="520" w:lineRule="exact"/>
        <w:rPr>
          <w:rFonts w:ascii="宋体" w:hAnsi="宋体" w:cs="宋体"/>
          <w:sz w:val="28"/>
          <w:szCs w:val="28"/>
        </w:rPr>
      </w:pPr>
      <w:r>
        <w:rPr>
          <w:rFonts w:hint="eastAsia" w:ascii="宋体" w:hAnsi="宋体" w:cs="宋体"/>
          <w:sz w:val="28"/>
          <w:szCs w:val="28"/>
        </w:rPr>
        <w:t xml:space="preserve">投标文件的组成：见投标人须知前附表。</w:t>
      </w:r>
      <w:r/>
    </w:p>
    <w:p>
      <w:pPr>
        <w:spacing w:line="520" w:lineRule="exact"/>
        <w:rPr>
          <w:rFonts w:ascii="楷体" w:hAnsi="楷体" w:eastAsia="楷体" w:cs="宋体"/>
          <w:b/>
          <w:sz w:val="28"/>
          <w:szCs w:val="28"/>
        </w:rPr>
      </w:pPr>
      <w:r/>
      <w:bookmarkStart w:id="217" w:name="_Toc367785004"/>
      <w:r/>
      <w:bookmarkStart w:id="218" w:name="_Toc426469889"/>
      <w:r>
        <w:rPr>
          <w:rFonts w:ascii="楷体" w:hAnsi="楷体" w:eastAsia="楷体" w:cs="宋体"/>
          <w:b/>
          <w:sz w:val="28"/>
          <w:szCs w:val="28"/>
        </w:rPr>
        <w:t xml:space="preserve">3.2</w:t>
      </w:r>
      <w:bookmarkEnd w:id="217"/>
      <w:r>
        <w:rPr>
          <w:rFonts w:hint="eastAsia" w:ascii="楷体" w:hAnsi="楷体" w:eastAsia="楷体" w:cs="宋体"/>
          <w:b/>
          <w:sz w:val="28"/>
          <w:szCs w:val="28"/>
        </w:rPr>
        <w:t xml:space="preserve">投标报价</w:t>
      </w:r>
      <w:bookmarkEnd w:id="218"/>
      <w:r/>
      <w:r/>
    </w:p>
    <w:p>
      <w:pPr>
        <w:ind w:firstLine="560"/>
        <w:spacing w:line="520" w:lineRule="exact"/>
        <w:rPr>
          <w:rFonts w:ascii="宋体" w:hAnsi="宋体" w:cs="宋体"/>
          <w:sz w:val="28"/>
          <w:szCs w:val="28"/>
        </w:rPr>
      </w:pPr>
      <w:r/>
      <w:bookmarkStart w:id="219" w:name="_Toc246996194"/>
      <w:r/>
      <w:bookmarkStart w:id="220" w:name="_Toc426469890"/>
      <w:r/>
      <w:bookmarkStart w:id="221" w:name="_Toc152045549"/>
      <w:r/>
      <w:bookmarkStart w:id="222" w:name="_Toc343525525"/>
      <w:r/>
      <w:bookmarkStart w:id="223" w:name="_Toc152042325"/>
      <w:r/>
      <w:bookmarkStart w:id="224" w:name="_Toc247085708"/>
      <w:r/>
      <w:bookmarkStart w:id="225" w:name="_Toc383438612"/>
      <w:r/>
      <w:bookmarkStart w:id="226" w:name="_Toc144974517"/>
      <w:r/>
      <w:bookmarkStart w:id="227" w:name="_Toc246996937"/>
      <w:r/>
      <w:bookmarkStart w:id="228" w:name="_Toc179632567"/>
      <w:r>
        <w:rPr>
          <w:rFonts w:hint="eastAsia" w:ascii="宋体" w:hAnsi="宋体" w:cs="宋体"/>
          <w:sz w:val="28"/>
          <w:szCs w:val="28"/>
        </w:rPr>
        <w:t xml:space="preserve">3.2.1 投标人应按招标文件规定的供货及服务要求、责任范围和合同条件，以人民币进行报价。报价应包括但不限于：所投货物和服务、辅材（含专用工具）、软件开发、运用、维护、知识产权、税金、运输、装卸、保险、检测验收、人员培训、安装调试、交付后质保等所有费用。</w:t>
      </w:r>
      <w:r/>
    </w:p>
    <w:p>
      <w:pPr>
        <w:ind w:firstLine="560"/>
        <w:spacing w:line="520" w:lineRule="exact"/>
        <w:rPr>
          <w:rFonts w:ascii="宋体" w:hAnsi="宋体" w:cs="宋体"/>
          <w:sz w:val="28"/>
          <w:szCs w:val="28"/>
        </w:rPr>
      </w:pPr>
      <w:r>
        <w:rPr>
          <w:rFonts w:hint="eastAsia" w:ascii="宋体" w:hAnsi="宋体" w:cs="宋体"/>
          <w:sz w:val="28"/>
          <w:szCs w:val="28"/>
        </w:rPr>
        <w:t xml:space="preserve">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p>
    <w:p>
      <w:pPr>
        <w:ind w:firstLine="560"/>
        <w:spacing w:line="520" w:lineRule="exact"/>
        <w:rPr>
          <w:rFonts w:ascii="宋体" w:hAnsi="宋体" w:cs="宋体"/>
          <w:sz w:val="28"/>
          <w:szCs w:val="28"/>
        </w:rPr>
      </w:pPr>
      <w:r>
        <w:rPr>
          <w:rFonts w:hint="eastAsia" w:ascii="宋体" w:hAnsi="宋体" w:cs="宋体"/>
          <w:sz w:val="28"/>
          <w:szCs w:val="28"/>
        </w:rPr>
        <w:t xml:space="preserve">3.2.3投标人对每种货物及服务只允许有一个报价，不接受选择性报价，否则，在评标时将其视为无效投标。</w:t>
      </w:r>
      <w:r/>
    </w:p>
    <w:p>
      <w:pPr>
        <w:ind w:firstLine="560"/>
        <w:spacing w:line="520" w:lineRule="exact"/>
        <w:rPr>
          <w:rFonts w:ascii="宋体" w:hAnsi="宋体" w:cs="宋体"/>
          <w:sz w:val="28"/>
          <w:szCs w:val="28"/>
        </w:rPr>
      </w:pPr>
      <w:r>
        <w:rPr>
          <w:rFonts w:hint="eastAsia" w:ascii="宋体" w:hAnsi="宋体" w:cs="宋体"/>
          <w:sz w:val="28"/>
          <w:szCs w:val="28"/>
        </w:rPr>
        <w:t xml:space="preserve">3.2.4投标人的投标报价不得超过采购项目最高限价。</w:t>
      </w:r>
      <w:r/>
    </w:p>
    <w:p>
      <w:pPr>
        <w:ind w:firstLine="560"/>
        <w:spacing w:line="520" w:lineRule="exact"/>
        <w:rPr>
          <w:rFonts w:ascii="宋体" w:hAnsi="宋体" w:cs="宋体"/>
          <w:sz w:val="28"/>
          <w:szCs w:val="28"/>
        </w:rPr>
      </w:pPr>
      <w:r>
        <w:rPr>
          <w:rFonts w:hint="eastAsia" w:ascii="宋体" w:hAnsi="宋体" w:cs="宋体"/>
          <w:sz w:val="28"/>
          <w:szCs w:val="28"/>
        </w:rPr>
        <w:t xml:space="preserve">3.2.5投标文件中标明的价格在合同执行过程中是固定不变的，不得以任何理由予以变更。任何包含价格调整要求和条件的投标，在评标时将其视为无效投标。</w:t>
      </w:r>
      <w:r/>
    </w:p>
    <w:p>
      <w:pPr>
        <w:spacing w:line="520" w:lineRule="exact"/>
        <w:rPr>
          <w:rFonts w:ascii="楷体" w:hAnsi="楷体" w:eastAsia="楷体"/>
          <w:b/>
          <w:sz w:val="28"/>
          <w:szCs w:val="28"/>
        </w:rPr>
      </w:pPr>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219"/>
      <w:r/>
      <w:bookmarkEnd w:id="220"/>
      <w:r/>
      <w:bookmarkEnd w:id="221"/>
      <w:r/>
      <w:bookmarkEnd w:id="222"/>
      <w:r/>
      <w:bookmarkEnd w:id="223"/>
      <w:r/>
      <w:bookmarkEnd w:id="224"/>
      <w:r/>
      <w:bookmarkEnd w:id="225"/>
      <w:r/>
      <w:bookmarkEnd w:id="226"/>
      <w:r/>
      <w:bookmarkEnd w:id="227"/>
      <w:r/>
      <w:bookmarkEnd w:id="228"/>
      <w:r/>
      <w:r/>
    </w:p>
    <w:p>
      <w:pPr>
        <w:ind w:firstLine="560"/>
        <w:spacing w:line="52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投标人须知前附表规定的投标有效期内，投标人不得要求撤销或修改其投标文件。</w:t>
      </w:r>
      <w:r/>
    </w:p>
    <w:p>
      <w:pPr>
        <w:ind w:firstLine="560"/>
        <w:spacing w:line="52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出现特殊情况需要延长投标有效期的，招标人将以书面形式通知投标人。投标人拒绝延长投标有效期的，其投标失效。</w:t>
      </w:r>
      <w:r/>
    </w:p>
    <w:p>
      <w:pPr>
        <w:spacing w:line="520" w:lineRule="exact"/>
        <w:rPr>
          <w:rFonts w:ascii="楷体" w:hAnsi="楷体" w:eastAsia="楷体"/>
          <w:b/>
          <w:sz w:val="28"/>
          <w:szCs w:val="28"/>
        </w:rPr>
      </w:pPr>
      <w:r/>
      <w:bookmarkStart w:id="229"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229"/>
      <w:r/>
      <w:r/>
    </w:p>
    <w:p>
      <w:pPr>
        <w:ind w:firstLine="560"/>
        <w:spacing w:line="52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投标人可以按照第五章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52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投标人</w:t>
      </w:r>
      <w:r>
        <w:rPr>
          <w:rFonts w:ascii="宋体" w:hAnsi="宋体"/>
          <w:sz w:val="28"/>
          <w:szCs w:val="28"/>
        </w:rPr>
        <w:t xml:space="preserve">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520" w:lineRule="exact"/>
        <w:rPr>
          <w:rFonts w:ascii="宋体" w:hAnsi="宋体"/>
          <w:sz w:val="28"/>
          <w:szCs w:val="28"/>
        </w:rPr>
      </w:pPr>
      <w:r>
        <w:rPr>
          <w:rFonts w:hint="eastAsia" w:ascii="宋体" w:hAnsi="宋体"/>
          <w:sz w:val="28"/>
          <w:szCs w:val="28"/>
        </w:rPr>
        <w:t xml:space="preserve">3.4.3 投标文件的数量：见投标人须知前附表。</w:t>
      </w:r>
      <w:r/>
    </w:p>
    <w:p>
      <w:pPr>
        <w:ind w:firstLine="560"/>
        <w:spacing w:line="520" w:lineRule="exact"/>
        <w:rPr>
          <w:rFonts w:ascii="宋体" w:hAnsi="宋体"/>
          <w:sz w:val="28"/>
          <w:szCs w:val="28"/>
        </w:rPr>
      </w:pPr>
      <w:r/>
      <w:bookmarkStart w:id="230" w:name="_Toc426469894"/>
      <w:r/>
      <w:bookmarkStart w:id="231" w:name="_Toc367785016"/>
      <w:r>
        <w:rPr>
          <w:rFonts w:hint="eastAsia" w:ascii="宋体" w:hAnsi="宋体"/>
          <w:sz w:val="28"/>
          <w:szCs w:val="28"/>
        </w:rPr>
        <w:t xml:space="preserve">3.4.4投标文件的签署：见投标人须知前附表。</w:t>
      </w:r>
      <w:r/>
    </w:p>
    <w:p>
      <w:pPr>
        <w:spacing w:line="520" w:lineRule="exact"/>
        <w:rPr>
          <w:rFonts w:ascii="黑体" w:hAnsi="黑体" w:eastAsia="黑体"/>
          <w:sz w:val="32"/>
          <w:szCs w:val="32"/>
        </w:rPr>
      </w:pPr>
      <w:r/>
      <w:bookmarkStart w:id="232" w:name="_Toc152042364"/>
      <w:r/>
      <w:bookmarkStart w:id="233" w:name="_Toc383625994"/>
      <w:r/>
      <w:bookmarkStart w:id="234" w:name="_Toc390098841"/>
      <w:r/>
      <w:bookmarkStart w:id="235" w:name="_Toc179632605"/>
      <w:r/>
      <w:bookmarkStart w:id="236" w:name="_Toc144974554"/>
      <w:r/>
      <w:bookmarkStart w:id="237" w:name="_Toc390246906"/>
      <w:r/>
      <w:bookmarkStart w:id="238" w:name="_Toc152045587"/>
      <w:r/>
      <w:bookmarkStart w:id="239" w:name="_Toc383623673"/>
      <w:r/>
      <w:bookmarkStart w:id="240" w:name="_Toc246996230"/>
      <w:r/>
      <w:bookmarkStart w:id="241" w:name="_Toc343525562"/>
      <w:r/>
      <w:bookmarkStart w:id="242" w:name="_Toc383587457"/>
      <w:r/>
      <w:bookmarkStart w:id="243" w:name="_Toc383698648"/>
      <w:r/>
      <w:bookmarkStart w:id="244" w:name="_Toc383438646"/>
      <w:r/>
      <w:bookmarkStart w:id="245" w:name="_Toc247085745"/>
      <w:r/>
      <w:bookmarkStart w:id="246" w:name="_Toc383679747"/>
      <w:r/>
      <w:bookmarkStart w:id="247" w:name="_Toc383623945"/>
      <w:r/>
      <w:bookmarkStart w:id="248" w:name="_Toc390099019"/>
      <w:r/>
      <w:bookmarkStart w:id="249" w:name="_Toc246996973"/>
      <w:r/>
      <w:bookmarkEnd w:id="102"/>
      <w:r/>
      <w:bookmarkEnd w:id="230"/>
      <w:r/>
      <w:bookmarkEnd w:id="231"/>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52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520" w:lineRule="exact"/>
        <w:rPr>
          <w:rFonts w:ascii="宋体" w:hAnsi="宋体" w:cs="宋体"/>
          <w:sz w:val="28"/>
          <w:szCs w:val="28"/>
        </w:rPr>
      </w:pPr>
      <w:r>
        <w:rPr>
          <w:rFonts w:hint="eastAsia" w:ascii="宋体" w:hAnsi="宋体" w:cs="宋体"/>
          <w:sz w:val="28"/>
          <w:szCs w:val="28"/>
        </w:rPr>
        <w:t xml:space="preserve">投标人应充分考虑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52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52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在投标截止时间前，投标人可以修改或撤回已递交的投标文件。具体操作方法见《江苏省政府采购管理交易系统（苏采云）投标人操作手册》。</w:t>
      </w:r>
      <w:r/>
    </w:p>
    <w:p>
      <w:pPr>
        <w:ind w:firstLine="560"/>
        <w:spacing w:line="52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52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520" w:lineRule="exact"/>
        <w:rPr>
          <w:rFonts w:ascii="宋体" w:hAnsi="宋体" w:cs="宋体"/>
          <w:sz w:val="28"/>
          <w:szCs w:val="28"/>
        </w:rPr>
      </w:pPr>
      <w:r>
        <w:rPr>
          <w:rFonts w:hint="eastAsia" w:ascii="宋体" w:hAnsi="宋体" w:cs="宋体"/>
          <w:sz w:val="28"/>
          <w:szCs w:val="28"/>
        </w:rPr>
        <w:t xml:space="preserve">投标人可以通过江苏省政府采购管理交易系统（苏采云）多次上传投标文件，以招标文件规定的投标截止时间前，江苏省政府采购管理交</w:t>
      </w:r>
      <w:r>
        <w:rPr>
          <w:rFonts w:hint="eastAsia" w:ascii="宋体" w:hAnsi="宋体" w:cs="宋体"/>
          <w:sz w:val="28"/>
          <w:szCs w:val="28"/>
        </w:rPr>
        <w:t xml:space="preserve">易系统（苏采云）接受到的最后一份投标文件为准。</w:t>
      </w:r>
      <w:r/>
    </w:p>
    <w:p>
      <w:pPr>
        <w:spacing w:line="52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52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52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开标时间和地点：见投标人须知前附表。</w:t>
      </w:r>
      <w:r/>
    </w:p>
    <w:p>
      <w:pPr>
        <w:ind w:firstLine="560"/>
        <w:spacing w:line="52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开标活动在江苏政府采购“苏采云”系统“开标大厅”内公开进行，投标人应当按照《江苏省政府采购管理交易系统（苏采云）投标人操作手册》规定，参加开标活动。</w:t>
      </w:r>
      <w:r/>
    </w:p>
    <w:p>
      <w:pPr>
        <w:spacing w:line="52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（1）系统登录。投标人应在投标截止时间前登录开标大厅。</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（2）投标人解密投标文件。按照系统内提示，在规定的时间内完成投标文件的解密。</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52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5.3.2因投标人自身原因造成投标文件无法解密的，视为撤销投标文件。</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5.3.3投标人对开标过程和开标记录有疑义的，可向招标人或者采购代理机构提出。</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5.3.4投标人未在开标系统中确认开标结果的，视同认可开标结果。</w:t>
      </w:r>
      <w:r/>
    </w:p>
    <w:p>
      <w:pPr>
        <w:spacing w:line="52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52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52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评标由招标人依法组建的评标委员会负责。评标委员会由招标人代表，以及有关技术、经济等方面的专家组成。具体人数见投标人须知前附表。</w:t>
      </w:r>
      <w:r/>
    </w:p>
    <w:p>
      <w:pPr>
        <w:ind w:firstLine="560"/>
        <w:spacing w:line="52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w:t>
      </w:r>
      <w:r>
        <w:rPr>
          <w:rFonts w:hint="eastAsia" w:ascii="宋体" w:hAnsi="宋体" w:cs="宋体"/>
          <w:sz w:val="28"/>
          <w:szCs w:val="28"/>
        </w:rPr>
        <w:t xml:space="preserve">投标人</w:t>
      </w:r>
      <w:r>
        <w:rPr>
          <w:rFonts w:ascii="宋体" w:hAnsi="宋体" w:cs="宋体"/>
          <w:sz w:val="28"/>
          <w:szCs w:val="28"/>
        </w:rPr>
        <w:t xml:space="preserve">存在劳动关系,或者担任过</w:t>
      </w:r>
      <w:r>
        <w:rPr>
          <w:rFonts w:hint="eastAsia" w:ascii="宋体" w:hAnsi="宋体" w:cs="宋体"/>
          <w:sz w:val="28"/>
          <w:szCs w:val="28"/>
        </w:rPr>
        <w:t xml:space="preserve">投标人</w:t>
      </w:r>
      <w:r>
        <w:rPr>
          <w:rFonts w:ascii="宋体" w:hAnsi="宋体" w:cs="宋体"/>
          <w:sz w:val="28"/>
          <w:szCs w:val="28"/>
        </w:rPr>
        <w:t xml:space="preserve">的董事、监事,或者是</w:t>
      </w:r>
      <w:r>
        <w:rPr>
          <w:rFonts w:hint="eastAsia" w:ascii="宋体" w:hAnsi="宋体" w:cs="宋体"/>
          <w:sz w:val="28"/>
          <w:szCs w:val="28"/>
        </w:rPr>
        <w:t xml:space="preserve">投标人</w:t>
      </w:r>
      <w:r>
        <w:rPr>
          <w:rFonts w:ascii="宋体" w:hAnsi="宋体" w:cs="宋体"/>
          <w:sz w:val="28"/>
          <w:szCs w:val="28"/>
        </w:rPr>
        <w:t xml:space="preserve">的控股股东或实际控制人</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的法定代表人或者负责人有夫妻、直系血亲、三代以内旁系血亲或者近姻亲关系</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有其他可能影响政府采购活动公平、公正进行的关系</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52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52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52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52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52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520" w:lineRule="exact"/>
        <w:rPr>
          <w:rFonts w:ascii="宋体"/>
          <w:sz w:val="28"/>
          <w:szCs w:val="28"/>
        </w:rPr>
      </w:pPr>
      <w:r>
        <w:rPr>
          <w:rFonts w:hint="eastAsia" w:ascii="宋体" w:hAnsi="宋体" w:cs="宋体"/>
          <w:sz w:val="28"/>
          <w:szCs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52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520" w:lineRule="exact"/>
        <w:rPr>
          <w:rFonts w:ascii="宋体" w:hAnsi="宋体" w:cs="宋体"/>
          <w:sz w:val="28"/>
          <w:szCs w:val="28"/>
        </w:rPr>
      </w:pPr>
      <w:r>
        <w:rPr>
          <w:rFonts w:hint="eastAsia" w:ascii="宋体" w:hAnsi="宋体" w:cs="宋体"/>
          <w:sz w:val="28"/>
          <w:szCs w:val="28"/>
        </w:rPr>
        <w:t xml:space="preserve">7.2.1自中标人确定之日起2个工作日内，在投标人须知前附表规定的媒介上公告中标结果，公告期限为1个工作日。</w:t>
      </w:r>
      <w:r/>
    </w:p>
    <w:p>
      <w:pPr>
        <w:ind w:firstLine="560"/>
        <w:spacing w:line="52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p>
    <w:p>
      <w:pPr>
        <w:spacing w:line="520" w:lineRule="exact"/>
        <w:rPr>
          <w:rFonts w:ascii="黑体" w:hAnsi="黑体" w:eastAsia="黑体"/>
          <w:sz w:val="32"/>
          <w:szCs w:val="32"/>
        </w:rPr>
      </w:pPr>
      <w:r/>
      <w:bookmarkStart w:id="250" w:name="_Hlt26955064"/>
      <w:r/>
      <w:bookmarkStart w:id="251" w:name="_Hlt26609391"/>
      <w:r/>
      <w:bookmarkStart w:id="252" w:name="_Hlt26671372"/>
      <w:r/>
      <w:bookmarkStart w:id="253" w:name="_Hlt24879081"/>
      <w:r/>
      <w:bookmarkStart w:id="254" w:name="_Hlt26671343"/>
      <w:r/>
      <w:bookmarkStart w:id="255" w:name="_Hlt26955056"/>
      <w:r/>
      <w:bookmarkStart w:id="256" w:name="_Hlt26782999"/>
      <w:r/>
      <w:bookmarkStart w:id="257" w:name="_Hlt26580838"/>
      <w:r/>
      <w:bookmarkEnd w:id="67"/>
      <w:r/>
      <w:bookmarkEnd w:id="68"/>
      <w:r/>
      <w:bookmarkEnd w:id="69"/>
      <w:r/>
      <w:bookmarkEnd w:id="70"/>
      <w:r/>
      <w:bookmarkEnd w:id="71"/>
      <w:r/>
      <w:bookmarkEnd w:id="72"/>
      <w:r/>
      <w:bookmarkEnd w:id="73"/>
      <w:r/>
      <w:bookmarkEnd w:id="74"/>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52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52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52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52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52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52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520" w:lineRule="exact"/>
        <w:rPr>
          <w:rFonts w:ascii="楷体" w:hAnsi="楷体" w:eastAsia="楷体"/>
          <w:b/>
          <w:sz w:val="28"/>
          <w:szCs w:val="28"/>
        </w:rPr>
      </w:pPr>
      <w:r>
        <w:rPr>
          <w:rFonts w:hint="eastAsia" w:ascii="宋体" w:hAnsi="宋体" w:cs="宋体"/>
          <w:sz w:val="28"/>
        </w:rPr>
        <w:t xml:space="preserve">需要补充的其他内容：见供应商须知前附表。</w:t>
      </w:r>
      <w:r/>
    </w:p>
    <w:p>
      <w:pPr>
        <w:jc w:val="left"/>
        <w:widowControl/>
      </w:pPr>
      <w:r>
        <w:br w:type="page" w:clear="all"/>
      </w:r>
      <w:r/>
    </w:p>
    <w:p>
      <w:pPr>
        <w:pStyle w:val="716"/>
        <w:ind w:left="-2" w:firstLine="643"/>
        <w:jc w:val="center"/>
        <w:spacing w:line="360" w:lineRule="exact"/>
        <w:rPr>
          <w:rFonts w:ascii="黑体" w:hAnsi="黑体" w:eastAsia="黑体"/>
          <w:b/>
          <w:color w:val="auto"/>
          <w:sz w:val="32"/>
          <w:szCs w:val="32"/>
        </w:rPr>
        <w:outlineLvl w:val="0"/>
      </w:pPr>
      <w:r>
        <w:rPr>
          <w:rFonts w:hint="eastAsia" w:ascii="黑体" w:hAnsi="黑体" w:eastAsia="黑体"/>
          <w:b/>
          <w:color w:val="auto"/>
          <w:sz w:val="32"/>
          <w:szCs w:val="32"/>
        </w:rPr>
        <w:t xml:space="preserve">第三章</w:t>
      </w:r>
      <w:r>
        <w:rPr>
          <w:rFonts w:ascii="黑体" w:hAnsi="黑体" w:eastAsia="黑体"/>
          <w:b/>
          <w:color w:val="auto"/>
          <w:sz w:val="32"/>
          <w:szCs w:val="32"/>
        </w:rPr>
        <w:t xml:space="preserve"> 资格审查及</w:t>
      </w:r>
      <w:r>
        <w:rPr>
          <w:rFonts w:hint="eastAsia" w:ascii="黑体" w:hAnsi="黑体" w:eastAsia="黑体"/>
          <w:b/>
          <w:color w:val="auto"/>
          <w:sz w:val="32"/>
          <w:szCs w:val="32"/>
        </w:rPr>
        <w:t xml:space="preserve">评标办法</w:t>
      </w:r>
      <w:r/>
    </w:p>
    <w:p>
      <w:pPr>
        <w:rPr>
          <w:sz w:val="28"/>
          <w:szCs w:val="28"/>
        </w:rPr>
      </w:pPr>
      <w:r/>
      <w:bookmarkStart w:id="258" w:name="_Toc383438647"/>
      <w:r/>
      <w:bookmarkStart w:id="259" w:name="_Toc247085746"/>
      <w:r/>
      <w:bookmarkStart w:id="260" w:name="_Toc144974555"/>
      <w:r/>
      <w:bookmarkStart w:id="261" w:name="_Toc179632606"/>
      <w:r/>
      <w:bookmarkStart w:id="262" w:name="_Toc426469920"/>
      <w:r/>
      <w:bookmarkStart w:id="263" w:name="_Toc246996974"/>
      <w:r/>
      <w:bookmarkStart w:id="264" w:name="_Toc152045588"/>
      <w:r/>
      <w:bookmarkStart w:id="265" w:name="_Toc152042365"/>
      <w:r/>
      <w:bookmarkStart w:id="266" w:name="_Toc246996231"/>
      <w:r/>
      <w:bookmarkStart w:id="267" w:name="_Toc343525563"/>
      <w:r>
        <w:rPr>
          <w:rFonts w:hint="eastAsia"/>
          <w:sz w:val="28"/>
          <w:szCs w:val="28"/>
        </w:rPr>
        <w:t xml:space="preserve">资格审查和评标办法前附表</w:t>
      </w:r>
      <w:bookmarkStart w:id="268" w:name="_Toc343525564"/>
      <w:r/>
      <w:bookmarkStart w:id="269" w:name="_Toc152042366"/>
      <w:r/>
      <w:bookmarkStart w:id="270" w:name="_Toc152045589"/>
      <w:r/>
      <w:bookmarkStart w:id="271" w:name="_Toc246996975"/>
      <w:r/>
      <w:bookmarkStart w:id="272" w:name="_Toc246996232"/>
      <w:r/>
      <w:bookmarkStart w:id="273" w:name="_Toc179632607"/>
      <w:r/>
      <w:bookmarkStart w:id="274" w:name="_Toc144974556"/>
      <w:r/>
      <w:bookmarkStart w:id="275" w:name="_Toc247085747"/>
      <w:r/>
      <w:bookmarkEnd w:id="258"/>
      <w:r/>
      <w:bookmarkEnd w:id="259"/>
      <w:r/>
      <w:bookmarkEnd w:id="260"/>
      <w:r/>
      <w:bookmarkEnd w:id="261"/>
      <w:r/>
      <w:bookmarkEnd w:id="262"/>
      <w:r/>
      <w:bookmarkEnd w:id="263"/>
      <w:r/>
      <w:bookmarkEnd w:id="264"/>
      <w:r/>
      <w:bookmarkEnd w:id="265"/>
      <w:r/>
      <w:bookmarkEnd w:id="266"/>
      <w:r/>
      <w:bookmarkEnd w:id="267"/>
      <w:r/>
      <w:r/>
    </w:p>
    <w:tbl>
      <w:tblPr>
        <w:tblW w:w="9663" w:type="dxa"/>
        <w:jc w:val="center"/>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567"/>
        <w:gridCol w:w="591"/>
        <w:gridCol w:w="676"/>
        <w:gridCol w:w="2273"/>
        <w:gridCol w:w="5556"/>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158"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tcBorders>
              <w:top w:val="single" w:color="auto" w:sz="6" w:space="0"/>
              <w:left w:val="single" w:color="auto" w:sz="6" w:space="0"/>
              <w:right w:val="single" w:color="auto" w:sz="6" w:space="0"/>
            </w:tcBorders>
            <w:tcW w:w="567"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tcBorders>
              <w:top w:val="single" w:color="auto" w:sz="6" w:space="0"/>
              <w:left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根据投标人提供的承诺函，内容完整且具有法人及法定代表人的印章。（内容及格式参照第五章）</w:t>
            </w:r>
            <w:r/>
          </w:p>
        </w:tc>
      </w:tr>
      <w:tr>
        <w:trPr>
          <w:jc w:val="center"/>
          <w:trHeight w:val="587"/>
        </w:trPr>
        <w:tc>
          <w:tcPr>
            <w:tcBorders>
              <w:left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left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见招标公告</w:t>
            </w:r>
            <w:r/>
          </w:p>
        </w:tc>
      </w:tr>
      <w:tr>
        <w:trPr>
          <w:jc w:val="center"/>
          <w:trHeight w:val="308"/>
        </w:trPr>
        <w:tc>
          <w:tcPr>
            <w:gridSpan w:val="5"/>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1.2项评审内容由招标人负责，投标文件不符合1.2项评审标准的，作无效标处理。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tcBorders>
              <w:top w:val="single" w:color="auto" w:sz="6" w:space="0"/>
              <w:left w:val="single" w:color="auto" w:sz="6" w:space="0"/>
              <w:bottom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76" w:name="OLE_LINK29"/>
            <w:r/>
            <w:bookmarkStart w:id="277" w:name="OLE_LINK30"/>
            <w:r>
              <w:rPr>
                <w:rFonts w:hint="eastAsia" w:asciiTheme="minorEastAsia" w:hAnsiTheme="minorEastAsia" w:eastAsiaTheme="minorEastAsia"/>
              </w:rPr>
              <w:t xml:space="preserve">投标文件的签署</w:t>
            </w:r>
            <w:bookmarkEnd w:id="276"/>
            <w:r/>
            <w:bookmarkEnd w:id="277"/>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78" w:name="OLE_LINK32"/>
            <w:r/>
            <w:bookmarkStart w:id="279" w:name="OLE_LINK31"/>
            <w:r>
              <w:rPr>
                <w:rFonts w:hint="eastAsia" w:asciiTheme="minorEastAsia" w:hAnsiTheme="minorEastAsia" w:eastAsiaTheme="minorEastAsia"/>
              </w:rPr>
              <w:t xml:space="preserve">符合第二章第3.4.4项规定</w:t>
            </w:r>
            <w:bookmarkEnd w:id="278"/>
            <w:r/>
            <w:bookmarkEnd w:id="279"/>
            <w:r/>
            <w:r/>
          </w:p>
        </w:tc>
      </w:tr>
      <w:tr>
        <w:trPr>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80" w:name="OLE_LINK51"/>
            <w:r>
              <w:rPr>
                <w:rFonts w:hint="eastAsia" w:asciiTheme="minorEastAsia" w:hAnsiTheme="minorEastAsia" w:eastAsiaTheme="minorEastAsia"/>
              </w:rPr>
              <w:t xml:space="preserve">报价</w:t>
            </w:r>
            <w:bookmarkEnd w:id="280"/>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bookmarkStart w:id="281" w:name="OLE_LINK27"/>
            <w:r/>
            <w:bookmarkStart w:id="282" w:name="OLE_LINK28"/>
            <w:r>
              <w:rPr>
                <w:rFonts w:hint="eastAsia" w:asciiTheme="minorEastAsia" w:hAnsiTheme="minorEastAsia" w:eastAsiaTheme="minorEastAsia"/>
              </w:rPr>
              <w:t xml:space="preserve">有且只有一个有效报价；未超过采购预算或最高限价；</w:t>
            </w:r>
            <w:bookmarkEnd w:id="281"/>
            <w:r/>
            <w:bookmarkEnd w:id="282"/>
            <w:r/>
            <w:r/>
          </w:p>
        </w:tc>
      </w:tr>
      <w:tr>
        <w:trPr>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83" w:name="OLE_LINK33"/>
            <w:r/>
            <w:bookmarkStart w:id="284" w:name="OLE_LINK34"/>
            <w:r>
              <w:rPr>
                <w:rFonts w:hint="eastAsia" w:asciiTheme="minorEastAsia" w:hAnsiTheme="minorEastAsia" w:eastAsiaTheme="minorEastAsia"/>
              </w:rPr>
              <w:t xml:space="preserve">合同履行期限</w:t>
            </w:r>
            <w:bookmarkEnd w:id="283"/>
            <w:r/>
            <w:bookmarkEnd w:id="284"/>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85" w:name="OLE_LINK35"/>
            <w:r/>
            <w:bookmarkStart w:id="286" w:name="OLE_LINK36"/>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bookmarkEnd w:id="285"/>
            <w:r/>
            <w:bookmarkEnd w:id="286"/>
            <w:r/>
            <w:r/>
          </w:p>
        </w:tc>
      </w:tr>
      <w:tr>
        <w:trPr>
          <w:jc w:val="center"/>
          <w:trHeight w:val="41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87" w:name="OLE_LINK38"/>
            <w:r/>
            <w:bookmarkStart w:id="288" w:name="OLE_LINK37"/>
            <w:r>
              <w:rPr>
                <w:rFonts w:hint="eastAsia" w:asciiTheme="minorEastAsia" w:hAnsiTheme="minorEastAsia" w:eastAsiaTheme="minorEastAsia"/>
              </w:rPr>
              <w:t xml:space="preserve">投标有效期</w:t>
            </w:r>
            <w:bookmarkEnd w:id="287"/>
            <w:r/>
            <w:bookmarkEnd w:id="288"/>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89" w:name="OLE_LINK2"/>
            <w:r/>
            <w:bookmarkStart w:id="290" w:name="OLE_LINK39"/>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bookmarkEnd w:id="289"/>
            <w:r/>
            <w:bookmarkEnd w:id="290"/>
            <w:r/>
            <w:r/>
          </w:p>
        </w:tc>
      </w:tr>
      <w:tr>
        <w:trPr>
          <w:jc w:val="center"/>
          <w:trHeight w:val="346"/>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91" w:name="OLE_LINK41"/>
            <w:r/>
            <w:bookmarkStart w:id="292" w:name="OLE_LINK40"/>
            <w:r>
              <w:rPr>
                <w:rFonts w:hint="eastAsia" w:asciiTheme="minorEastAsia" w:hAnsiTheme="minorEastAsia" w:eastAsiaTheme="minorEastAsia"/>
              </w:rPr>
              <w:t xml:space="preserve">偏离</w:t>
            </w:r>
            <w:bookmarkEnd w:id="291"/>
            <w:r/>
            <w:bookmarkEnd w:id="292"/>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93" w:name="OLE_LINK13"/>
            <w:r/>
            <w:bookmarkStart w:id="294" w:name="OLE_LINK14"/>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bookmarkEnd w:id="293"/>
            <w:r/>
            <w:bookmarkEnd w:id="294"/>
            <w:r/>
            <w:r/>
          </w:p>
        </w:tc>
      </w:tr>
      <w:tr>
        <w:trPr>
          <w:jc w:val="center"/>
          <w:trHeight w:val="378"/>
        </w:trPr>
        <w:tc>
          <w:tcPr>
            <w:gridSpan w:val="5"/>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276"/>
        </w:trPr>
        <w:tc>
          <w:tcPr>
            <w:gridSpan w:val="5"/>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jc w:val="center"/>
          <w:trHeight w:val="5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b/>
                <w:bCs/>
                <w:szCs w:val="21"/>
              </w:rPr>
            </w:pPr>
            <w:r/>
            <w:bookmarkStart w:id="295" w:name="_Toc426469921"/>
            <w:r>
              <w:rPr>
                <w:rFonts w:hint="eastAsia" w:ascii="宋体" w:hAnsi="宋体"/>
                <w:b/>
                <w:bCs/>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ind w:firstLine="28"/>
              <w:jc w:val="center"/>
              <w:rPr>
                <w:rFonts w:ascii="宋体" w:hAnsi="宋体"/>
                <w:b/>
                <w:bCs/>
                <w:szCs w:val="21"/>
              </w:rPr>
            </w:pPr>
            <w:r>
              <w:rPr>
                <w:rFonts w:hint="eastAsia" w:ascii="宋体" w:hAnsi="宋体"/>
                <w:b/>
                <w:bCs/>
                <w:szCs w:val="21"/>
              </w:rPr>
              <w:t xml:space="preserve">评分因素</w:t>
            </w:r>
            <w:r/>
          </w:p>
          <w:p>
            <w:pPr>
              <w:ind w:firstLine="28"/>
              <w:jc w:val="center"/>
              <w:rPr>
                <w:rFonts w:ascii="宋体" w:hAnsi="宋体"/>
                <w:b/>
                <w:bCs/>
                <w:szCs w:val="21"/>
              </w:rPr>
            </w:pPr>
            <w:r>
              <w:rPr>
                <w:rFonts w:hint="eastAsia" w:ascii="宋体" w:hAnsi="宋体"/>
                <w:b/>
                <w:bCs/>
                <w:szCs w:val="21"/>
              </w:rPr>
              <w:t xml:space="preserve">及权重</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ind w:firstLine="28"/>
              <w:jc w:val="center"/>
              <w:spacing w:line="500" w:lineRule="exact"/>
              <w:rPr>
                <w:rFonts w:ascii="宋体" w:hAnsi="宋体"/>
                <w:b/>
                <w:bCs/>
                <w:szCs w:val="21"/>
              </w:rPr>
            </w:pPr>
            <w:r>
              <w:rPr>
                <w:rFonts w:hint="eastAsia" w:ascii="宋体" w:hAnsi="宋体"/>
                <w:b/>
                <w:bCs/>
                <w:szCs w:val="21"/>
              </w:rPr>
              <w:t xml:space="preserve">评分标准</w:t>
            </w:r>
            <w:r/>
          </w:p>
        </w:tc>
      </w:tr>
      <w:tr>
        <w:trPr>
          <w:jc w:val="center"/>
          <w:trHeight w:val="56"/>
        </w:trPr>
        <w:tc>
          <w:tcPr>
            <w:gridSpan w:val="5"/>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ind w:firstLine="28"/>
              <w:jc w:val="center"/>
              <w:spacing w:line="500" w:lineRule="exact"/>
              <w:rPr>
                <w:rFonts w:ascii="宋体" w:hAnsi="宋体"/>
                <w:b/>
                <w:bCs/>
                <w:sz w:val="28"/>
                <w:szCs w:val="28"/>
              </w:rPr>
            </w:pPr>
            <w:r>
              <w:rPr>
                <w:rFonts w:hint="eastAsia" w:ascii="宋体" w:hAnsi="宋体"/>
                <w:b/>
                <w:bCs/>
              </w:rPr>
              <w:t xml:space="preserve">报价部分（30分）</w:t>
            </w:r>
            <w:r/>
          </w:p>
        </w:tc>
      </w:tr>
      <w:tr>
        <w:trPr>
          <w:jc w:val="center"/>
          <w:trHeight w:val="273"/>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pacing w:line="500" w:lineRule="exact"/>
              <w:rPr>
                <w:rFonts w:ascii="宋体" w:hAnsi="宋体"/>
                <w:szCs w:val="21"/>
              </w:rPr>
            </w:pPr>
            <w:r>
              <w:rPr>
                <w:rFonts w:hint="eastAsia" w:ascii="宋体" w:hAnsi="宋体"/>
                <w:szCs w:val="21"/>
              </w:rPr>
              <w:t xml:space="preserve">1</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ind w:firstLine="28"/>
              <w:jc w:val="center"/>
              <w:spacing w:line="500" w:lineRule="exact"/>
              <w:rPr>
                <w:rFonts w:ascii="宋体" w:hAnsi="宋体"/>
                <w:szCs w:val="21"/>
              </w:rPr>
            </w:pPr>
            <w:r>
              <w:rPr>
                <w:rFonts w:hint="eastAsia" w:ascii="宋体" w:hAnsi="宋体"/>
                <w:szCs w:val="21"/>
              </w:rPr>
              <w:t xml:space="preserve">投标报价</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400" w:lineRule="exact"/>
              <w:rPr>
                <w:rFonts w:asciiTheme="minorEastAsia" w:hAnsiTheme="minorEastAsia" w:eastAsiaTheme="minorEastAsia" w:cstheme="minorEastAsia"/>
              </w:rPr>
            </w:pPr>
            <w:r/>
            <w:bookmarkStart w:id="296" w:name="OLE_LINK43"/>
            <w:r/>
            <w:bookmarkStart w:id="297" w:name="OLE_LINK42"/>
            <w:r/>
            <w:bookmarkStart w:id="298" w:name="OLE_LINK15"/>
            <w:r/>
            <w:bookmarkStart w:id="299" w:name="OLE_LINK52"/>
            <w:r>
              <w:rPr>
                <w:rFonts w:hint="eastAsia" w:asciiTheme="minorEastAsia" w:hAnsiTheme="minorEastAsia" w:eastAsiaTheme="minorEastAsia" w:cstheme="minorEastAsia"/>
              </w:rPr>
              <w:t xml:space="preserve">价格分统一采用低价优先法计算，即满足招标文件要求且投标价格最低的投标报价为评标基准价，其价格分为满分，其他招标人的价格分统一按照下列公式计算：</w:t>
            </w:r>
            <w:r/>
          </w:p>
          <w:p>
            <w:pPr>
              <w:spacing w:line="400" w:lineRule="exact"/>
              <w:rPr>
                <w:rFonts w:ascii="宋体" w:hAnsi="宋体"/>
                <w:bCs/>
                <w:szCs w:val="21"/>
                <w:lang w:val="zh-CN"/>
              </w:rPr>
            </w:pPr>
            <w:r>
              <w:rPr>
                <w:rFonts w:hint="eastAsia" w:asciiTheme="minorEastAsia" w:hAnsiTheme="minorEastAsia" w:eastAsiaTheme="minorEastAsia" w:cstheme="minorEastAsia"/>
              </w:rPr>
              <w:t xml:space="preserve">投标报价得分＝（评标基准价/投标报价）×30分。</w:t>
            </w:r>
            <w:bookmarkEnd w:id="296"/>
            <w:r/>
            <w:bookmarkEnd w:id="297"/>
            <w:r/>
            <w:bookmarkEnd w:id="298"/>
            <w:r/>
            <w:bookmarkEnd w:id="299"/>
            <w:r/>
            <w:r/>
          </w:p>
        </w:tc>
      </w:tr>
      <w:tr>
        <w:trPr>
          <w:jc w:val="center"/>
          <w:trHeight w:val="273"/>
        </w:trPr>
        <w:tc>
          <w:tcPr>
            <w:gridSpan w:val="5"/>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ind w:firstLine="28"/>
              <w:jc w:val="center"/>
              <w:spacing w:line="500" w:lineRule="exact"/>
              <w:rPr>
                <w:rFonts w:ascii="宋体" w:hAnsi="宋体"/>
                <w:bCs/>
                <w:lang w:val="zh-CN"/>
              </w:rPr>
            </w:pPr>
            <w:r>
              <w:rPr>
                <w:rFonts w:hint="eastAsia" w:ascii="宋体" w:hAnsi="宋体"/>
                <w:b/>
                <w:bCs/>
              </w:rPr>
              <w:t xml:space="preserve">商务部分（24分）</w:t>
            </w:r>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40" w:lineRule="atLeast"/>
              <w:rPr>
                <w:rFonts w:ascii="宋体" w:hAnsi="宋体"/>
                <w:szCs w:val="21"/>
              </w:rPr>
            </w:pPr>
            <w:r/>
            <w:bookmarkStart w:id="300" w:name="_Hlk225520555"/>
            <w:r/>
            <w:bookmarkStart w:id="301" w:name="_Hlk216682853"/>
            <w:r>
              <w:rPr>
                <w:rFonts w:hint="eastAsia" w:ascii="宋体" w:hAnsi="宋体"/>
                <w:szCs w:val="21"/>
              </w:rPr>
              <w:t xml:space="preserve">2</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宋体" w:hAnsi="宋体"/>
                <w:szCs w:val="21"/>
              </w:rPr>
            </w:pPr>
            <w:r/>
            <w:bookmarkStart w:id="302" w:name="OLE_LINK49"/>
            <w:r/>
            <w:bookmarkStart w:id="303" w:name="OLE_LINK48"/>
            <w:r>
              <w:rPr>
                <w:rFonts w:hint="eastAsia" w:ascii="宋体" w:hAnsi="宋体"/>
                <w:szCs w:val="21"/>
              </w:rPr>
              <w:t xml:space="preserve">企业实力</w:t>
            </w:r>
            <w:bookmarkEnd w:id="302"/>
            <w:r/>
            <w:bookmarkEnd w:id="303"/>
            <w:r>
              <w:rPr>
                <w:rFonts w:hint="eastAsia" w:ascii="宋体" w:hAnsi="宋体"/>
                <w:szCs w:val="21"/>
              </w:rPr>
              <w:t xml:space="preserve">（17分）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numPr>
                <w:ilvl w:val="0"/>
                <w:numId w:val="3"/>
              </w:num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投标人具有有效期内的质量管理、环境管理、职业健康安全管理认证证书，每具有一个证书得1分，最高得3分。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2、投标人具有有效的售后服务认证证书（认证范围须包含信息系统集成运维服务），得1分。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3、投标人具有农业无人机作业管控类（农业无人机作业、航线规划、指挥调度、飞控数据分析、智能巡田管理领域等与本项目建设内容相关）软件著作权登记证书，得1分。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4、投标人具有智慧农田监测与大数据分析类（农田智能监测、农作物长势分析、农业大数据管理、智慧农业决策、病虫害智能测报领域等与本项目建设内容相关）软件著作权登记证书，得1分。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5、投标人具有农业物联网与视频智能应用类（农业物联网数据管理、视频智能分析、数据存储传输、智能设备监控领域等与本项目建设内容相关）软件著作权登记证书，得1分。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6、投标人具有农业综合管理与生产服务类（农业生产管理、农技服务、农产品管控、农业供应链管理领域等与本项目建设内容相关）软件著作权登记证书，得1分。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7、投标人自2023年1月1日以来（以合同签订时间为准）承接过农业综合服务中心建设项目或智慧农业类项目的，有1个得3分，最高得9分。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注：序号1-6须提供证书原件扫描件，</w:t>
            </w:r>
            <w:bookmarkStart w:id="304" w:name="OLE_LINK47"/>
            <w:r>
              <w:rPr>
                <w:rFonts w:hint="eastAsia" w:asciiTheme="minorEastAsia" w:hAnsiTheme="minorEastAsia" w:eastAsiaTheme="minorEastAsia" w:cstheme="minorEastAsia"/>
              </w:rPr>
              <w:t xml:space="preserve">否则不得分</w:t>
            </w:r>
            <w:bookmarkEnd w:id="304"/>
            <w:r>
              <w:rPr>
                <w:rFonts w:hint="eastAsia" w:asciiTheme="minorEastAsia" w:hAnsiTheme="minorEastAsia" w:eastAsiaTheme="minorEastAsia" w:cstheme="minorEastAsia"/>
              </w:rPr>
              <w:t xml:space="preserve">。</w:t>
            </w:r>
            <w:r/>
          </w:p>
          <w:p>
            <w:pPr>
              <w:spacing w:line="400" w:lineRule="exact"/>
              <w:rPr>
                <w:rFonts w:ascii="仿宋" w:hAnsi="仿宋" w:eastAsia="仿宋" w:cs="仿宋"/>
                <w:color w:val="ff0000"/>
                <w:szCs w:val="21"/>
              </w:rPr>
            </w:pPr>
            <w:r>
              <w:rPr>
                <w:rFonts w:hint="eastAsia" w:asciiTheme="minorEastAsia" w:hAnsiTheme="minorEastAsia" w:eastAsiaTheme="minorEastAsia" w:cstheme="minorEastAsia"/>
              </w:rPr>
              <w:t xml:space="preserve">序号7须提供中标（成交）通知书和合同的原件扫描件，否则不得分。</w:t>
            </w:r>
            <w:bookmarkEnd w:id="300"/>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3</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服务团队实力</w:t>
            </w:r>
            <w:r/>
          </w:p>
          <w:p>
            <w:pPr>
              <w:jc w:val="center"/>
              <w:spacing w:line="440" w:lineRule="atLeast"/>
              <w:rPr>
                <w:rFonts w:ascii="宋体" w:hAnsi="宋体"/>
                <w:szCs w:val="21"/>
              </w:rPr>
            </w:pPr>
            <w:r>
              <w:rPr>
                <w:rFonts w:hint="eastAsia" w:ascii="宋体" w:hAnsi="宋体"/>
                <w:szCs w:val="21"/>
              </w:rPr>
              <w:t xml:space="preserve">（7分）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400" w:lineRule="exact"/>
              <w:rPr>
                <w:rFonts w:asciiTheme="minorEastAsia" w:hAnsiTheme="minorEastAsia" w:eastAsiaTheme="minorEastAsia" w:cstheme="minorEastAsia"/>
              </w:rPr>
            </w:pPr>
            <w:r/>
            <w:bookmarkStart w:id="305" w:name="OLE_LINK55"/>
            <w:r/>
            <w:bookmarkStart w:id="306" w:name="OLE_LINK56"/>
            <w:r>
              <w:rPr>
                <w:rFonts w:hint="eastAsia" w:asciiTheme="minorEastAsia" w:hAnsiTheme="minorEastAsia" w:eastAsiaTheme="minorEastAsia" w:cstheme="minorEastAsia"/>
              </w:rPr>
              <w:t xml:space="preserve">1、项目负责人能力比较（2分）：具有信息系统项目管理师、电子信息类高级（含）以上职称的，每提供一个得1分，最高得2分。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2、项目部组成人员能力比较（5分）：具有网络工程师、软件设计师、软件测试工程师、信息安全保障人员、弱电系统集成项目经理、售后服务管理师、IT运维服务工程师的，每提供一个得1分，最高得5分。</w:t>
            </w:r>
            <w:r/>
          </w:p>
          <w:p>
            <w:pPr>
              <w:spacing w:line="400" w:lineRule="exact"/>
              <w:rPr>
                <w:rFonts w:ascii="宋体" w:hAnsi="宋体"/>
                <w:szCs w:val="21"/>
              </w:rPr>
            </w:pPr>
            <w:r>
              <w:rPr>
                <w:rFonts w:hint="eastAsia" w:asciiTheme="minorEastAsia" w:hAnsiTheme="minorEastAsia" w:eastAsiaTheme="minorEastAsia" w:cstheme="minorEastAsia"/>
              </w:rPr>
              <w:t xml:space="preserve">注：以上所有人员不得相互兼任，同一人员有多个证书的仅计算一次。须提供相关人员证书及近三个月内任意一个月在投标单位参保的社保缴费证明原件扫描件。</w:t>
            </w:r>
            <w:bookmarkEnd w:id="305"/>
            <w:r/>
            <w:bookmarkEnd w:id="306"/>
            <w:r/>
            <w:r/>
          </w:p>
        </w:tc>
      </w:tr>
      <w:tr>
        <w:trPr>
          <w:jc w:val="center"/>
          <w:trHeight w:val="511"/>
        </w:trPr>
        <w:tc>
          <w:tcPr>
            <w:gridSpan w:val="5"/>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ind w:firstLine="28"/>
              <w:jc w:val="center"/>
              <w:spacing w:line="500" w:lineRule="exact"/>
              <w:rPr>
                <w:rFonts w:ascii="宋体" w:hAnsi="宋体"/>
                <w:szCs w:val="21"/>
              </w:rPr>
            </w:pPr>
            <w:r>
              <w:rPr>
                <w:rFonts w:hint="eastAsia" w:ascii="宋体" w:hAnsi="宋体"/>
                <w:b/>
                <w:bCs/>
              </w:rPr>
              <w:t xml:space="preserve">技术部分（46分）</w:t>
            </w:r>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4</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技术要求响应</w:t>
            </w:r>
            <w:r/>
          </w:p>
          <w:p>
            <w:pPr>
              <w:jc w:val="center"/>
              <w:spacing w:line="440" w:lineRule="atLeast"/>
              <w:rPr>
                <w:rFonts w:ascii="宋体" w:hAnsi="宋体" w:eastAsiaTheme="minorEastAsia"/>
                <w:szCs w:val="21"/>
              </w:rPr>
            </w:pPr>
            <w:r>
              <w:rPr>
                <w:rFonts w:hint="eastAsia" w:asciiTheme="minorEastAsia" w:hAnsiTheme="minorEastAsia" w:eastAsiaTheme="minorEastAsia" w:cstheme="minorEastAsia"/>
                <w:color w:val="000000" w:themeColor="text1"/>
              </w:rPr>
              <w:t xml:space="preserve">（16分）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400" w:lineRule="exact"/>
              <w:rPr>
                <w:rFonts w:ascii="宋体" w:hAnsi="宋体"/>
                <w:szCs w:val="21"/>
              </w:rPr>
            </w:pPr>
            <w:r>
              <w:rPr>
                <w:rFonts w:hint="eastAsia" w:asciiTheme="minorEastAsia" w:hAnsiTheme="minorEastAsia" w:eastAsiaTheme="minorEastAsia" w:cstheme="minorEastAsia"/>
              </w:rPr>
              <w:t xml:space="preserve">根据投标单位所投产品的技术参数与招标文件要求比较，完全响应招标文件要求（即未偏离或正偏离）的得16分；标“▲”技术参数存在负偏离的，每有一项扣0.5分；其他标准和要求存在负偏离的，每有一项扣 0.2分。扣完为止。（要求提供检测报告的，出具检测报告的单位必须能够在国家市场监督管理总局网站全国认证认可信息公共服务平台可查询，并提供相关截图，否则视为负偏离。）</w:t>
            </w:r>
            <w:r/>
          </w:p>
        </w:tc>
      </w:tr>
      <w:tr>
        <w:trPr>
          <w:jc w:val="center"/>
          <w:trHeight w:val="511"/>
        </w:trPr>
        <w:tc>
          <w:tcPr>
            <w:tcBorders>
              <w:top w:val="single" w:color="auto" w:sz="4" w:space="0"/>
              <w:left w:val="single" w:color="auto" w:sz="4" w:space="0"/>
              <w:right w:val="single" w:color="auto" w:sz="4" w:space="0"/>
            </w:tcBorders>
            <w:tcW w:w="567" w:type="dxa"/>
            <w:vAlign w:val="center"/>
            <w:vMerge w:val="restart"/>
            <w:textDirection w:val="lrTb"/>
            <w:noWrap w:val="false"/>
          </w:tcPr>
          <w:p>
            <w:pPr>
              <w:jc w:val="center"/>
              <w:spacing w:line="440" w:lineRule="atLeast"/>
              <w:rPr>
                <w:rFonts w:ascii="宋体" w:hAnsi="宋体"/>
                <w:szCs w:val="21"/>
              </w:rPr>
            </w:pPr>
            <w:r>
              <w:rPr>
                <w:rFonts w:hint="eastAsia" w:ascii="宋体" w:hAnsi="宋体"/>
                <w:szCs w:val="21"/>
              </w:rPr>
              <w:t xml:space="preserve">5</w:t>
            </w:r>
            <w:r/>
          </w:p>
        </w:tc>
        <w:tc>
          <w:tcPr>
            <w:gridSpan w:val="2"/>
            <w:tcBorders>
              <w:top w:val="single" w:color="auto" w:sz="4" w:space="0"/>
              <w:left w:val="none" w:color="000000" w:sz="4" w:space="0"/>
              <w:right w:val="single" w:color="auto" w:sz="4" w:space="0"/>
            </w:tcBorders>
            <w:tcW w:w="1267" w:type="dxa"/>
            <w:vAlign w:val="center"/>
            <w:vMerge w:val="restart"/>
            <w:textDirection w:val="lrTb"/>
            <w:noWrap w:val="false"/>
          </w:tcPr>
          <w:p>
            <w:pPr>
              <w:jc w:val="center"/>
              <w:spacing w:line="440" w:lineRule="atLeast"/>
              <w:rPr>
                <w:rFonts w:ascii="宋体" w:hAnsi="宋体"/>
                <w:szCs w:val="21"/>
              </w:rPr>
            </w:pPr>
            <w:r>
              <w:rPr>
                <w:rFonts w:hint="eastAsia" w:ascii="宋体" w:hAnsi="宋体"/>
                <w:szCs w:val="21"/>
              </w:rPr>
              <w:t xml:space="preserve">实施方案（24分）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pStyle w:val="720"/>
              <w:rPr>
                <w:rFonts w:asciiTheme="minorEastAsia" w:hAnsiTheme="minorEastAsia" w:eastAsiaTheme="minorEastAsia" w:cstheme="minorEastAsia"/>
                <w:color w:val="000000" w:themeColor="text1"/>
              </w:rPr>
            </w:pPr>
            <w:r/>
            <w:bookmarkStart w:id="307" w:name="OLE_LINK57"/>
            <w:r/>
            <w:bookmarkStart w:id="308" w:name="OLE_LINK58"/>
            <w:r>
              <w:rPr>
                <w:rFonts w:hint="eastAsia" w:asciiTheme="minorEastAsia" w:hAnsiTheme="minorEastAsia" w:eastAsiaTheme="minorEastAsia" w:cstheme="minorEastAsia"/>
                <w:color w:val="000000" w:themeColor="text1"/>
              </w:rPr>
              <w:t xml:space="preserve">投标单位根据项目需求情况提供完善的项目技术方案，包括：项目概况、需求分析、技术路线、建设目标、建设思路、建设内容、对作物病虫害监测分析、农技指导服务。</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方案内容全面、科学合理、可行性强的，得6分；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方案内容较全面、较为科学合理、可行性较强的，得4分；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方案内容不够全面、科学性合理性、可行性一般的，得2分；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rPr>
              <w:t xml:space="preserve">未提供或者内容不全面、不合理的不得分。</w:t>
            </w:r>
            <w:bookmarkEnd w:id="307"/>
            <w:r/>
            <w:bookmarkEnd w:id="308"/>
            <w:r/>
            <w:r/>
          </w:p>
        </w:tc>
      </w:tr>
      <w:tr>
        <w:trPr>
          <w:jc w:val="center"/>
          <w:trHeight w:val="511"/>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widowControl/>
              <w:rPr>
                <w:rFonts w:asciiTheme="minorEastAsia" w:hAnsiTheme="minorEastAsia" w:eastAsiaTheme="minorEastAsia" w:cstheme="minorEastAsia"/>
                <w:b/>
                <w:bCs/>
                <w:color w:val="000000" w:themeColor="text1"/>
              </w:rPr>
            </w:pPr>
            <w:r/>
            <w:bookmarkStart w:id="309" w:name="OLE_LINK59"/>
            <w:r/>
            <w:bookmarkStart w:id="310" w:name="OLE_LINK60"/>
            <w:r>
              <w:rPr>
                <w:rFonts w:hint="eastAsia" w:asciiTheme="minorEastAsia" w:hAnsiTheme="minorEastAsia" w:eastAsiaTheme="minorEastAsia" w:cstheme="minorEastAsia"/>
                <w:color w:val="000000" w:themeColor="text1"/>
              </w:rPr>
              <w:t xml:space="preserve">投标单位根据项目需求情况提供完善的设备进场、安装调试计划方案，包括：供货计划、设备安装计划、软硬件调试计划、质量保障措施。</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方案内容全面、科学合理、可行性强的，得6分；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方案内容较全面、较为科学合理、可行性较强的，得4分；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方案内容不够全面、科学性合理性、可行性一般的，得2分；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rPr>
              <w:t xml:space="preserve">未提供或者内容不全面、不合理的不得分。</w:t>
            </w:r>
            <w:bookmarkEnd w:id="309"/>
            <w:r/>
            <w:bookmarkEnd w:id="310"/>
            <w:r/>
            <w:r/>
          </w:p>
        </w:tc>
      </w:tr>
      <w:tr>
        <w:trPr>
          <w:jc w:val="center"/>
          <w:trHeight w:val="511"/>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widowControl/>
              <w:rPr>
                <w:rFonts w:asciiTheme="minorEastAsia" w:hAnsiTheme="minorEastAsia" w:eastAsiaTheme="minorEastAsia" w:cstheme="minorEastAsia"/>
                <w:b/>
                <w:bCs/>
                <w:color w:val="000000" w:themeColor="text1"/>
              </w:rPr>
            </w:pPr>
            <w:r/>
            <w:bookmarkStart w:id="311" w:name="OLE_LINK61"/>
            <w:r/>
            <w:bookmarkStart w:id="312" w:name="OLE_LINK62"/>
            <w:r>
              <w:rPr>
                <w:rFonts w:hint="eastAsia" w:asciiTheme="minorEastAsia" w:hAnsiTheme="minorEastAsia" w:eastAsiaTheme="minorEastAsia" w:cstheme="minorEastAsia"/>
                <w:color w:val="000000" w:themeColor="text1"/>
              </w:rPr>
              <w:t xml:space="preserve">投标单位根据项目需求情况提供完善的项目培训和验收方案，包括：培训内容、培训人员配备、培训计划、培训方式、验收准备、验收标准。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方案内容全面、科学合理、可行性强的，得6分；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方案内容较全面、较为科学合理、可行性较强的，得4分；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方案内容不够全面、科学性合理性、可行性一般的，得2分；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rPr>
              <w:t xml:space="preserve">未提供或者内容不全面、不合理的不得分。</w:t>
            </w:r>
            <w:bookmarkEnd w:id="311"/>
            <w:r/>
            <w:bookmarkEnd w:id="312"/>
            <w:r/>
            <w:r/>
          </w:p>
        </w:tc>
      </w:tr>
      <w:tr>
        <w:trPr>
          <w:jc w:val="center"/>
          <w:trHeight w:val="511"/>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rPr>
                <w:rFonts w:asciiTheme="minorEastAsia" w:hAnsiTheme="minorEastAsia" w:eastAsiaTheme="minorEastAsia" w:cstheme="minorEastAsia"/>
                <w:color w:val="000000" w:themeColor="text1"/>
              </w:rPr>
            </w:pPr>
            <w:r/>
            <w:bookmarkStart w:id="313" w:name="OLE_LINK63"/>
            <w:r/>
            <w:bookmarkStart w:id="314" w:name="OLE_LINK64"/>
            <w:r>
              <w:rPr>
                <w:rFonts w:hint="eastAsia" w:asciiTheme="minorEastAsia" w:hAnsiTheme="minorEastAsia" w:eastAsiaTheme="minorEastAsia" w:cstheme="minorEastAsia"/>
                <w:color w:val="000000" w:themeColor="text1"/>
              </w:rPr>
              <w:t xml:space="preserve">根据投标人提供的售后服务方案进行综合评审，包括但不限于以下部分:售后服务团队、服务流程、服务方式、服务承诺、响应及解决时间、定期性检查方案等：</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方案内容全面、科学合理、可行性强的，得6分；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方案内容较全面、较为科学合理、可行性较强的，得4分；</w:t>
            </w:r>
            <w:r/>
          </w:p>
          <w:p>
            <w:pPr>
              <w:spacing w:line="3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方案内容不够全面、科学性合理性、可行性一般的，得2分；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rPr>
              <w:t xml:space="preserve">未提供或者内容不全面、不合理的不得分。</w:t>
            </w:r>
            <w:bookmarkEnd w:id="313"/>
            <w:r/>
            <w:bookmarkEnd w:id="314"/>
            <w:r/>
            <w:r/>
          </w:p>
        </w:tc>
      </w:tr>
      <w:tr>
        <w:trPr>
          <w:jc w:val="center"/>
          <w:trHeight w:val="2257"/>
        </w:trPr>
        <w:tc>
          <w:tcPr>
            <w:tcBorders>
              <w:left w:val="single" w:color="auto" w:sz="4" w:space="0"/>
              <w:right w:val="single" w:color="auto" w:sz="4" w:space="0"/>
            </w:tcBorders>
            <w:tcW w:w="567" w:type="dxa"/>
            <w:vAlign w:val="center"/>
            <w:vMerge w:val="restart"/>
            <w:textDirection w:val="lrTb"/>
            <w:noWrap w:val="false"/>
          </w:tcPr>
          <w:p>
            <w:pPr>
              <w:jc w:val="center"/>
              <w:spacing w:line="440" w:lineRule="atLeast"/>
              <w:rPr>
                <w:rFonts w:ascii="宋体" w:hAnsi="宋体"/>
                <w:szCs w:val="21"/>
              </w:rPr>
            </w:pPr>
            <w:r>
              <w:rPr>
                <w:rFonts w:hint="eastAsia" w:ascii="宋体" w:hAnsi="宋体"/>
                <w:szCs w:val="21"/>
              </w:rPr>
              <w:t xml:space="preserve">6</w:t>
            </w:r>
            <w:r/>
          </w:p>
        </w:tc>
        <w:tc>
          <w:tcPr>
            <w:gridSpan w:val="2"/>
            <w:tcBorders>
              <w:left w:val="none" w:color="000000" w:sz="4" w:space="0"/>
              <w:right w:val="single" w:color="auto" w:sz="4" w:space="0"/>
            </w:tcBorders>
            <w:tcW w:w="1267" w:type="dxa"/>
            <w:vAlign w:val="center"/>
            <w:vMerge w:val="restart"/>
            <w:textDirection w:val="lrTb"/>
            <w:noWrap w:val="false"/>
          </w:tcPr>
          <w:p>
            <w:pPr>
              <w:jc w:val="center"/>
              <w:spacing w:line="440" w:lineRule="atLeast"/>
              <w:rPr>
                <w:rFonts w:ascii="宋体" w:hAnsi="宋体"/>
                <w:szCs w:val="21"/>
              </w:rPr>
            </w:pPr>
            <w:r>
              <w:rPr>
                <w:rFonts w:hint="eastAsia" w:ascii="宋体" w:hAnsi="宋体"/>
                <w:szCs w:val="21"/>
              </w:rPr>
              <w:t xml:space="preserve">系统演示（6分）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bookmarkStart w:id="315" w:name="OLE_LINK65"/>
            <w:r/>
            <w:bookmarkStart w:id="316" w:name="OLE_LINK66"/>
            <w:r>
              <w:rPr>
                <w:rFonts w:hint="eastAsia" w:asciiTheme="minorEastAsia" w:hAnsiTheme="minorEastAsia" w:eastAsiaTheme="minorEastAsia" w:cstheme="minorEastAsia"/>
                <w:color w:val="000000" w:themeColor="text1"/>
              </w:rPr>
              <w:t xml:space="preserve">视频演示:供应商需提供软件系统演示，演示方式为视频录制，视频时间控制在15分钟内。单个视频附件压缩包大小不得超过50M，整体附件压缩包不得超过300M，压缩包文件格式为zip格式。对于所有演示内容，需提供软件系统演示，针对以下每条功能点进行演示。</w:t>
            </w:r>
            <w:r/>
          </w:p>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演示内容功能全面、效果好的，得</w:t>
            </w:r>
            <w:r>
              <w:rPr>
                <w:rFonts w:hint="eastAsia" w:asciiTheme="minorEastAsia" w:hAnsiTheme="minorEastAsia" w:eastAsiaTheme="minorEastAsia" w:cstheme="minorEastAsia"/>
                <w:color w:val="000000" w:themeColor="text1"/>
              </w:rPr>
              <w:t xml:space="preserve">6</w:t>
            </w:r>
            <w:r>
              <w:rPr>
                <w:rFonts w:asciiTheme="minorEastAsia" w:hAnsiTheme="minorEastAsia" w:eastAsiaTheme="minorEastAsia" w:cstheme="minorEastAsia"/>
                <w:color w:val="000000" w:themeColor="text1"/>
              </w:rPr>
              <w:t xml:space="preserve">分；</w:t>
            </w:r>
            <w:r/>
          </w:p>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演示内容功能较全面、较为科学合理、效果较好，得</w:t>
            </w:r>
            <w:r>
              <w:rPr>
                <w:rFonts w:hint="eastAsia" w:asciiTheme="minorEastAsia" w:hAnsiTheme="minorEastAsia" w:eastAsiaTheme="minorEastAsia" w:cstheme="minorEastAsia"/>
                <w:color w:val="000000" w:themeColor="text1"/>
              </w:rPr>
              <w:t xml:space="preserve">4</w:t>
            </w:r>
            <w:r>
              <w:rPr>
                <w:rFonts w:asciiTheme="minorEastAsia" w:hAnsiTheme="minorEastAsia" w:eastAsiaTheme="minorEastAsia" w:cstheme="minorEastAsia"/>
                <w:color w:val="000000" w:themeColor="text1"/>
              </w:rPr>
              <w:t xml:space="preserve">分；</w:t>
            </w:r>
            <w:r/>
          </w:p>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演示内容功能不够全面、布局一般、效果一般的，得</w:t>
            </w:r>
            <w:r>
              <w:rPr>
                <w:rFonts w:hint="eastAsia" w:asciiTheme="minorEastAsia" w:hAnsiTheme="minorEastAsia" w:eastAsiaTheme="minorEastAsia" w:cstheme="minorEastAsia"/>
                <w:color w:val="000000" w:themeColor="text1"/>
              </w:rPr>
              <w:t xml:space="preserve">2</w:t>
            </w:r>
            <w:r>
              <w:rPr>
                <w:rFonts w:asciiTheme="minorEastAsia" w:hAnsiTheme="minorEastAsia" w:eastAsiaTheme="minorEastAsia" w:cstheme="minorEastAsia"/>
                <w:color w:val="000000" w:themeColor="text1"/>
              </w:rPr>
              <w:t xml:space="preserve">分；</w:t>
            </w:r>
            <w:r/>
          </w:p>
          <w:p>
            <w:pPr>
              <w:spacing w:line="360" w:lineRule="exact"/>
            </w:pPr>
            <w:r>
              <w:rPr>
                <w:rFonts w:asciiTheme="minorEastAsia" w:hAnsiTheme="minorEastAsia" w:eastAsiaTheme="minorEastAsia" w:cstheme="minorEastAsia"/>
                <w:color w:val="000000" w:themeColor="text1"/>
              </w:rPr>
              <w:t xml:space="preserve">未提供演示</w:t>
            </w:r>
            <w:r>
              <w:rPr>
                <w:rFonts w:hint="eastAsia" w:asciiTheme="minorEastAsia" w:hAnsiTheme="minorEastAsia" w:eastAsiaTheme="minorEastAsia" w:cstheme="minorEastAsia"/>
                <w:color w:val="000000" w:themeColor="text1"/>
              </w:rPr>
              <w:t xml:space="preserve">视频</w:t>
            </w:r>
            <w:r>
              <w:rPr>
                <w:rFonts w:asciiTheme="minorEastAsia" w:hAnsiTheme="minorEastAsia" w:eastAsiaTheme="minorEastAsia" w:cstheme="minorEastAsia"/>
                <w:color w:val="000000" w:themeColor="text1"/>
              </w:rPr>
              <w:t xml:space="preserve">或者功能不全面、不合理的不得分。</w:t>
            </w:r>
            <w:bookmarkEnd w:id="315"/>
            <w:r/>
            <w:bookmarkEnd w:id="316"/>
            <w:r/>
            <w:r/>
          </w:p>
        </w:tc>
      </w:tr>
      <w:tr>
        <w:trPr>
          <w:jc w:val="center"/>
          <w:trHeight w:val="364"/>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1）演示软件平台端侧能力，需要展示后台管理端、大屏端以及移动端；后台管理端提供进入大屏端和移动端的链接入口；后台管理端核心功能需包括数字农田、监测诊断、处方管理、智慧物联等功能，且需要提供大屏对应后台功能聚合展示页面；</w:t>
            </w:r>
            <w:r/>
          </w:p>
        </w:tc>
      </w:tr>
      <w:tr>
        <w:trPr>
          <w:jc w:val="center"/>
          <w:trHeight w:val="274"/>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2）演示数字农田的一地一码功能，演示后台管理端地块区域自主划分，并支持配置基础字段属性，完成配置后生成地块的专属二维码，大屏端该地块边界和二维码信息实时同步；支持移动设备扫码获取当前地块档案信息，提供地块基本信息、农作作业记录信息，监控设备查看，物联感知设备具体参数监控，物联监控设备一键控制等；</w:t>
            </w:r>
            <w:r/>
          </w:p>
        </w:tc>
      </w:tr>
      <w:tr>
        <w:trPr>
          <w:jc w:val="center"/>
          <w:trHeight w:val="238"/>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3）演示长势监测诊断，演示基础长势指标包括叶面积指数，叶片氮含量，地上部生物量等算法分析监测，也支持额外添加分析指标；提供种植全阶段针对性监测，包括耕前监测、种植过程监测以及收割监测等阶段，在种</w:t>
            </w:r>
            <w:r>
              <w:rPr>
                <w:rFonts w:asciiTheme="minorEastAsia" w:hAnsiTheme="minorEastAsia" w:eastAsiaTheme="minorEastAsia" w:cstheme="minorEastAsia"/>
                <w:color w:val="000000" w:themeColor="text1"/>
              </w:rPr>
              <w:t xml:space="preserve">植过程中依据作物生育时期的不同适配对应监测指标规划；提供完整的量化指标分析以及全域栅格分析影像，并给出初步的施肥施药或灌溉诊断；</w:t>
            </w:r>
            <w:r/>
          </w:p>
        </w:tc>
      </w:tr>
      <w:tr>
        <w:trPr>
          <w:jc w:val="center"/>
          <w:trHeight w:val="232"/>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bottom w:val="single" w:color="auto"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4）演示农作处方设计功能，支持三类处方包括施肥处方、施药处方以及灌溉处方；施肥施药处方提供全域施撒量统计分析，针对具体每个地块提供具体施肥配方以及建议施撒量信息，支持导出具体施肥施药处方原件；灌溉处方提供具体灌溉水量的全域统计分析，针对每个地块具体灌水量以及已灌溉量进行统计并展示；</w:t>
            </w:r>
            <w:r/>
          </w:p>
        </w:tc>
      </w:tr>
      <w:tr>
        <w:trPr>
          <w:jc w:val="center"/>
          <w:trHeight w:val="232"/>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bottom w:val="single" w:color="auto"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5）演示农业作业管控，支持无人机巡田管控，智能灌溉管控；支持无人机提供航线、任务设计与同步功能，支持按任务计划自动飞行，能实时监测无人机运行状态、任务执行进度及环境感知数据，并提供远程关舱、紧急返航等应急处置操作，实现巡飞过程视频实时监控与作业数据即时回传；支持无人机巢可视化呈现与设备信息维护；支持拍摄影像拼接制图一键式快速发起，可同步显示可见光、NDVI等部分常用多光谱拼图结果；智能灌溉管控支持对感知类灌溉设备如泵房、水位计等设备的数据监测管控，支持对控制类灌溉设备进行实时开关操作；</w:t>
            </w:r>
            <w:r/>
          </w:p>
        </w:tc>
      </w:tr>
      <w:tr>
        <w:trPr>
          <w:jc w:val="center"/>
          <w:trHeight w:val="232"/>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left w:val="none" w:color="000000" w:sz="4" w:space="0"/>
              <w:bottom w:val="single" w:color="auto" w:sz="4" w:space="0"/>
              <w:right w:val="single" w:color="auto" w:sz="4" w:space="0"/>
            </w:tcBorders>
            <w:tcW w:w="12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t xml:space="preserve">6）演示害虫性诱智能测报仪功能；电脑端具有设备统计预览、设备分布、害虫预警设置、害虫监测、害虫趋势分析、多年同比分析等功能、能按害虫类别、地理区域筛选统计累计总数、平均数的趋势图；电脑端具有自动生产虫情分析报告的功能；手机APP端具有支持Harmony鸿蒙、iOS苹果和Android安卓系统、卵、幼虫各龄期的短期预测、田间成虫量的预测、灯诱数据换算的功能。</w:t>
            </w:r>
            <w:bookmarkEnd w:id="301"/>
            <w:r/>
          </w:p>
        </w:tc>
      </w:tr>
    </w:tbl>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评标采用综合评分法，评标委员会对满足招标文件实质要求的投标文件，按照本章规定的评分标准进行打分，并按得分由高到低顺序推荐中标候选人。</w:t>
      </w:r>
      <w:r>
        <w:rPr>
          <w:rFonts w:hint="eastAsia"/>
          <w:b/>
          <w:sz w:val="28"/>
          <w:szCs w:val="28"/>
        </w:rPr>
        <w:t xml:space="preserve">招标人有权</w:t>
      </w:r>
      <w:r>
        <w:rPr>
          <w:b/>
          <w:sz w:val="28"/>
          <w:szCs w:val="28"/>
        </w:rPr>
        <w:t xml:space="preserve">对第一中标候选人提交的所有资料</w:t>
      </w:r>
      <w:r>
        <w:rPr>
          <w:rFonts w:hint="eastAsia"/>
          <w:b/>
          <w:sz w:val="28"/>
          <w:szCs w:val="28"/>
        </w:rPr>
        <w:t xml:space="preserve">的真实性</w:t>
      </w:r>
      <w:r>
        <w:rPr>
          <w:b/>
          <w:sz w:val="28"/>
          <w:szCs w:val="28"/>
        </w:rPr>
        <w:t xml:space="preserve">进行考察、核实，若发现弄虚作假的，取消中标资格，并进行公示等相关处罚。</w:t>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72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72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95"/>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w:t>
      </w:r>
      <w:r>
        <w:rPr>
          <w:rFonts w:hint="eastAsia"/>
          <w:sz w:val="28"/>
          <w:szCs w:val="28"/>
        </w:rPr>
        <w:t xml:space="preserve">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721"/>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721"/>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721"/>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721"/>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721"/>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pStyle w:val="721"/>
        <w:ind w:firstLine="560"/>
        <w:spacing w:line="500" w:lineRule="exact"/>
        <w:rPr>
          <w:rFonts w:ascii="宋体" w:hAnsi="宋体"/>
          <w:sz w:val="28"/>
          <w:szCs w:val="28"/>
        </w:rPr>
      </w:pPr>
      <w:r>
        <w:rPr>
          <w:rFonts w:hint="eastAsia" w:ascii="宋体" w:hAnsi="宋体"/>
          <w:sz w:val="28"/>
          <w:szCs w:val="28"/>
        </w:rPr>
        <w:t xml:space="preserve">2.3.3.1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r/>
    </w:p>
    <w:p>
      <w:pPr>
        <w:pStyle w:val="721"/>
        <w:ind w:firstLine="560"/>
        <w:spacing w:line="500" w:lineRule="exact"/>
      </w:pPr>
      <w:r>
        <w:rPr>
          <w:rFonts w:hint="eastAsia" w:ascii="宋体" w:hAnsi="宋体"/>
          <w:sz w:val="28"/>
          <w:szCs w:val="28"/>
        </w:rPr>
        <w:t xml:space="preserve">2.3.3.2对本国产品的报价给予20%的价格扣除，用扣除后的价格参与评审。当采购项目或者采购包中含有多种产品，供应商为该采购项目或者采购包提供的符合本国产品标准的产品成本之和占供应商提供的全部产品成本之和的比例达到80%以上时，对供应商提供的全部产品给予价格评审优惠，即对供应商提供的全部产品的总报价给予20%的价格扣除，用扣除后的价格参与评审。本国产品标准、成本核算规则等规定详见《国务院办公厅关于在政府采购中实施本国产品标准及相关政策的通知》（国办发[2025]34号）文件。</w:t>
      </w:r>
      <w:r/>
    </w:p>
    <w:p>
      <w:pPr>
        <w:spacing w:line="500" w:lineRule="exact"/>
        <w:rPr>
          <w:rFonts w:ascii="楷体" w:hAnsi="楷体" w:eastAsia="楷体"/>
          <w:b/>
          <w:sz w:val="28"/>
          <w:szCs w:val="28"/>
        </w:rPr>
      </w:pPr>
      <w:r/>
      <w:bookmarkStart w:id="317"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72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721"/>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72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721"/>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721"/>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721"/>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721"/>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721"/>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w:t>
      </w:r>
      <w:r>
        <w:rPr>
          <w:rFonts w:hint="eastAsia" w:asciiTheme="minorEastAsia" w:hAnsiTheme="minorEastAsia" w:eastAsiaTheme="minorEastAsia"/>
          <w:sz w:val="28"/>
          <w:szCs w:val="28"/>
        </w:rPr>
        <w:t xml:space="preserve">报价按照本章第2.5条的规定经投标人确认后产生约束力，投标人不确认的，其投标无效。</w:t>
      </w:r>
      <w:r/>
    </w:p>
    <w:p>
      <w:pPr>
        <w:pStyle w:val="721"/>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72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72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721"/>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721"/>
        <w:ind w:firstLine="560"/>
        <w:spacing w:line="500" w:lineRule="exact"/>
        <w:rPr>
          <w:rFonts w:ascii="宋体" w:hAnsi="宋体"/>
          <w:sz w:val="28"/>
          <w:szCs w:val="28"/>
        </w:rPr>
      </w:pPr>
      <w:r>
        <w:rPr>
          <w:rFonts w:hint="eastAsia" w:ascii="宋体" w:hAnsi="宋体"/>
          <w:sz w:val="28"/>
          <w:szCs w:val="28"/>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财库[2026]2号文件规定执行。</w:t>
      </w:r>
      <w:r/>
    </w:p>
    <w:p>
      <w:pPr>
        <w:pStyle w:val="721"/>
        <w:ind w:firstLine="560"/>
        <w:spacing w:line="500" w:lineRule="exact"/>
        <w:rPr>
          <w:rFonts w:ascii="宋体" w:hAnsi="宋体"/>
          <w:sz w:val="28"/>
          <w:szCs w:val="28"/>
        </w:rPr>
      </w:pPr>
      <w:r>
        <w:rPr>
          <w:rFonts w:hint="eastAsia" w:ascii="宋体" w:hAnsi="宋体"/>
          <w:sz w:val="28"/>
          <w:szCs w:val="28"/>
        </w:rPr>
        <w:t xml:space="preserve">若投标报价出现财库[2026]2号文件第二条（一）第</w:t>
      </w:r>
      <w:r>
        <w:rPr>
          <w:rFonts w:hint="eastAsia" w:ascii="宋体" w:hAnsi="宋体"/>
          <w:sz w:val="28"/>
          <w:szCs w:val="28"/>
        </w:rPr>
        <w:t xml:space="preserve">1条投标（响应）报价低于全部通过符合性审查供应商投标（响应）报价平均值50%的，即投标（响应）报价&lt;全部通过符合性审查供应商投标（响应）报价平均值×50%；第2条投标（响应）报价低于通过符合性审查的次低报价供应商投标（响应）报价50%的，即投标（响应）报价&lt;通过符合性审查的次低报价供应商投标（响应）报价×50%；第3条投标（响应）报价低于采购项目最高限价45%的，即投标（响应）报价&lt;采购项目最高限价×45%情形及第4条评审委员会基于专业判断，认为供应商报价过低，有可能影响产品质量或者不能诚信履约的其他情形。</w:t>
      </w:r>
      <w:r/>
    </w:p>
    <w:p>
      <w:pPr>
        <w:pStyle w:val="721"/>
        <w:ind w:firstLine="560"/>
        <w:spacing w:line="500" w:lineRule="exact"/>
        <w:rPr>
          <w:rFonts w:ascii="宋体" w:hAnsi="宋体"/>
          <w:sz w:val="28"/>
          <w:szCs w:val="28"/>
        </w:rPr>
      </w:pPr>
      <w:r>
        <w:rPr>
          <w:rFonts w:hint="eastAsia" w:ascii="宋体" w:hAnsi="宋体"/>
          <w:sz w:val="28"/>
          <w:szCs w:val="28"/>
        </w:rPr>
        <w:t xml:space="preserve">评审委员会启动异常低价投标（响应）审查后，属于前述第1条至第4条情形的，应当要求相关供应商在评审现场合理的时间内对投标（响应）价格作出解释，提供项目具体成本测算等与报价合理性相关的书面</w:t>
      </w:r>
      <w:r>
        <w:rPr>
          <w:rFonts w:hint="eastAsia" w:ascii="宋体" w:hAnsi="宋体"/>
          <w:sz w:val="28"/>
          <w:szCs w:val="28"/>
        </w:rPr>
        <w:t xml:space="preserve">说明及必要的证明材料，包括但不限于原材料成本、人工成本、制造费用等。其中，属于第3条情形，供应商已随投标（响应）文件一并提交相关书面说明及必要的证明材料的，在评审现场可不再重复提交。</w:t>
      </w:r>
      <w:r/>
    </w:p>
    <w:p>
      <w:pPr>
        <w:pStyle w:val="721"/>
        <w:ind w:firstLine="560"/>
        <w:spacing w:line="500" w:lineRule="exact"/>
        <w:rPr>
          <w:rFonts w:ascii="宋体" w:hAnsi="宋体"/>
          <w:sz w:val="28"/>
          <w:szCs w:val="28"/>
        </w:rPr>
      </w:pPr>
      <w:r>
        <w:rPr>
          <w:rFonts w:hint="eastAsia" w:ascii="宋体" w:hAnsi="宋体"/>
          <w:sz w:val="28"/>
          <w:szCs w:val="28"/>
        </w:rPr>
        <w:t xml:space="preserve">如果投标供应商未提供书面说明、证明材料，或者提供的书面说明、证明材料不能证明其报价合理性的，评标委员会应对其作为无效投标处理。</w:t>
      </w:r>
      <w:r/>
    </w:p>
    <w:p>
      <w:pPr>
        <w:pStyle w:val="721"/>
        <w:ind w:firstLine="562"/>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72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721"/>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721"/>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721"/>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721"/>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721"/>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721"/>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721"/>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721"/>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721"/>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721"/>
        <w:spacing w:after="0" w:line="48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（4）投标文件含有招标人不能接受的附加条件的。</w:t>
      </w:r>
      <w:r/>
    </w:p>
    <w:p>
      <w:pPr>
        <w:pStyle w:val="721"/>
        <w:spacing w:after="0" w:line="48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68"/>
      <w:r/>
      <w:bookmarkEnd w:id="269"/>
      <w:r/>
      <w:bookmarkEnd w:id="270"/>
      <w:r/>
      <w:bookmarkEnd w:id="271"/>
      <w:r/>
      <w:bookmarkEnd w:id="272"/>
      <w:r/>
      <w:bookmarkEnd w:id="273"/>
      <w:r/>
      <w:bookmarkEnd w:id="274"/>
      <w:r/>
      <w:bookmarkEnd w:id="275"/>
      <w:r/>
      <w:bookmarkEnd w:id="317"/>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bookmarkStart w:id="318" w:name="OLE_LINK11"/>
      <w:r/>
      <w:bookmarkStart w:id="319" w:name="OLE_LINK12"/>
      <w:r/>
      <w:r/>
    </w:p>
    <w:p>
      <w:pPr>
        <w:jc w:val="center"/>
        <w:rPr>
          <w:rFonts w:ascii="黑体" w:hAnsi="黑体" w:eastAsia="黑体" w:cs="仿宋"/>
          <w:b/>
          <w:bCs/>
          <w:sz w:val="32"/>
          <w:szCs w:val="32"/>
        </w:rPr>
      </w:pPr>
      <w:r>
        <w:rPr>
          <w:rFonts w:ascii="黑体" w:hAnsi="黑体" w:eastAsia="黑体" w:cs="仿宋"/>
          <w:b/>
          <w:sz w:val="32"/>
          <w:szCs w:val="32"/>
        </w:rPr>
      </w:r>
      <w:r>
        <w:rPr>
          <w:rFonts w:ascii="黑体" w:hAnsi="黑体" w:eastAsia="黑体" w:cs="仿宋"/>
          <w:b/>
          <w:sz w:val="32"/>
          <w:szCs w:val="32"/>
        </w:rPr>
      </w:r>
    </w:p>
    <w:p>
      <w:pPr>
        <w:jc w:val="center"/>
        <w:rPr>
          <w:rFonts w:ascii="黑体" w:hAnsi="黑体" w:eastAsia="黑体" w:cs="仿宋"/>
          <w:b/>
          <w:bCs/>
          <w:sz w:val="32"/>
          <w:szCs w:val="32"/>
        </w:rPr>
      </w:pPr>
      <w:r>
        <w:rPr>
          <w:rFonts w:ascii="黑体" w:hAnsi="黑体" w:eastAsia="黑体" w:cs="仿宋"/>
          <w:b/>
          <w:bCs/>
          <w:sz w:val="32"/>
          <w:szCs w:val="32"/>
        </w:rPr>
      </w:r>
      <w:r>
        <w:rPr>
          <w:rFonts w:ascii="黑体" w:hAnsi="黑体" w:eastAsia="黑体" w:cs="仿宋"/>
          <w:b/>
          <w:bCs/>
          <w:sz w:val="32"/>
          <w:szCs w:val="32"/>
        </w:rPr>
      </w:r>
    </w:p>
    <w:p>
      <w:pPr>
        <w:jc w:val="center"/>
        <w:rPr>
          <w:rFonts w:ascii="黑体" w:hAnsi="黑体" w:eastAsia="黑体" w:cs="仿宋"/>
          <w:b/>
          <w:bCs/>
          <w:sz w:val="32"/>
          <w:szCs w:val="32"/>
        </w:rPr>
      </w:pPr>
      <w:r>
        <w:rPr>
          <w:rFonts w:ascii="黑体" w:hAnsi="黑体" w:eastAsia="黑体" w:cs="仿宋"/>
          <w:b/>
          <w:bCs/>
          <w:sz w:val="32"/>
          <w:szCs w:val="32"/>
        </w:rPr>
      </w:r>
      <w:r>
        <w:rPr>
          <w:rFonts w:ascii="黑体" w:hAnsi="黑体" w:eastAsia="黑体" w:cs="仿宋"/>
          <w:b/>
          <w:bCs/>
          <w:sz w:val="32"/>
          <w:szCs w:val="32"/>
        </w:rPr>
      </w:r>
    </w:p>
    <w:p>
      <w:pPr>
        <w:jc w:val="center"/>
        <w:rPr>
          <w:rFonts w:ascii="黑体" w:hAnsi="黑体" w:eastAsia="黑体" w:cs="仿宋"/>
          <w:b/>
          <w:bCs/>
          <w:sz w:val="32"/>
          <w:szCs w:val="32"/>
        </w:rPr>
      </w:pPr>
      <w:r>
        <w:rPr>
          <w:rFonts w:ascii="黑体" w:hAnsi="黑体" w:eastAsia="黑体" w:cs="仿宋"/>
          <w:b/>
          <w:bCs/>
          <w:sz w:val="32"/>
          <w:szCs w:val="32"/>
        </w:rPr>
      </w:r>
      <w:r>
        <w:rPr>
          <w:rFonts w:ascii="黑体" w:hAnsi="黑体" w:eastAsia="黑体" w:cs="仿宋"/>
          <w:b/>
          <w:bCs/>
          <w:sz w:val="32"/>
          <w:szCs w:val="32"/>
        </w:rPr>
      </w:r>
    </w:p>
    <w:p>
      <w:pPr>
        <w:jc w:val="center"/>
        <w:rPr>
          <w:rFonts w:ascii="黑体" w:hAnsi="黑体" w:eastAsia="黑体" w:cs="仿宋"/>
          <w:b/>
          <w:bCs/>
          <w:sz w:val="32"/>
          <w:szCs w:val="32"/>
        </w:rPr>
      </w:pPr>
      <w:r>
        <w:rPr>
          <w:rFonts w:ascii="黑体" w:hAnsi="黑体" w:eastAsia="黑体" w:cs="仿宋"/>
          <w:b/>
          <w:bCs/>
          <w:sz w:val="32"/>
          <w:szCs w:val="32"/>
        </w:rPr>
      </w:r>
      <w:r>
        <w:rPr>
          <w:rFonts w:ascii="黑体" w:hAnsi="黑体" w:eastAsia="黑体" w:cs="仿宋"/>
          <w:b/>
          <w:bCs/>
          <w:sz w:val="32"/>
          <w:szCs w:val="32"/>
        </w:rPr>
      </w:r>
    </w:p>
    <w:p>
      <w:pPr>
        <w:jc w:val="center"/>
        <w:rPr>
          <w:rFonts w:ascii="黑体" w:hAnsi="黑体" w:eastAsia="黑体" w:cs="仿宋"/>
          <w:b/>
          <w:bCs/>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hint="eastAsia" w:ascii="黑体" w:hAnsi="黑体" w:eastAsia="黑体" w:cs="仿宋"/>
          <w:b/>
          <w:sz w:val="32"/>
          <w:szCs w:val="32"/>
        </w:rPr>
        <w:t xml:space="preserve">第四章 </w:t>
      </w:r>
      <w:bookmarkStart w:id="320" w:name="OLE_LINK129"/>
      <w:r/>
      <w:bookmarkStart w:id="321" w:name="OLE_LINK128"/>
      <w:r>
        <w:rPr>
          <w:rFonts w:hint="eastAsia" w:ascii="黑体" w:hAnsi="黑体" w:eastAsia="黑体" w:cs="仿宋"/>
          <w:b/>
          <w:sz w:val="32"/>
          <w:szCs w:val="32"/>
        </w:rPr>
        <w:t xml:space="preserve">采购需求</w:t>
      </w:r>
      <w:bookmarkEnd w:id="320"/>
      <w:bookmarkEnd w:id="321"/>
      <w:r/>
    </w:p>
    <w:p>
      <w:pPr>
        <w:pStyle w:val="721"/>
        <w:ind w:firstLine="560"/>
        <w:spacing w:after="0" w:line="48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1、投标人所投所有设备必须具备标准化数据输出接口，支持与国家级、省级、市级、县级和当地相关信息调度管理系统对接。</w:t>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2、中标人负责设备运输、安装、调试、质保期的运维等全过程安全，甲方不承担任何安全责任。</w:t>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3、中标人承但三年内所有设</w:t>
      </w:r>
      <w:bookmarkStart w:id="322" w:name="_GoBack"/>
      <w:r/>
      <w:bookmarkEnd w:id="322"/>
      <w:r>
        <w:rPr>
          <w:rFonts w:hint="eastAsia" w:asciiTheme="minorEastAsia" w:hAnsiTheme="minorEastAsia" w:eastAsiaTheme="minorEastAsia"/>
          <w:sz w:val="28"/>
          <w:szCs w:val="28"/>
        </w:rPr>
        <w:t xml:space="preserve">备网络通讯费、无人机保险费、设备耗材(性诱剂等)等费用，以维持设备、软件系统三年内正常运行，甲方不承担任何费用。</w:t>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中标人提供的设备参数不符、以次充好、无法正常运行、无法正常对接系统等情况，中标人必须无条件更换，如给招标人造成损失，则没收履约保证金，若履约保证金不够赔偿，招标人有权要求中标人对不足部分予以赔偿。</w:t>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5、所有监测数据必须能够上传苏农云及采购人指定的相关系统，质保期内所有数据通讯费用、软件升级费用由中标人承担，招标人在质保期内不承担其他任何费用。</w:t>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6、本项目免费质保期三年。</w:t>
      </w:r>
      <w:r/>
    </w:p>
    <w:p>
      <w:pPr>
        <w:pStyle w:val="721"/>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中标人应保证在本项目使用的任何产品，不会产生因第三方提出侵犯其专利权、商标权或其它知识产权而引起的法律和经济纠纷，如因专利权、商标权或其它知识产权而引起法律和经济纠纷，由中标人承担所有责任。</w:t>
      </w:r>
      <w:r/>
    </w:p>
    <w:p>
      <w:pPr>
        <w:rPr>
          <w:rFonts w:ascii="宋体" w:hAnsi="宋体" w:cs="宋体"/>
          <w:color w:val="ff0000"/>
          <w:sz w:val="28"/>
          <w:szCs w:val="28"/>
        </w:rPr>
      </w:pPr>
      <w:r>
        <w:rPr>
          <w:rFonts w:ascii="宋体" w:hAnsi="宋体" w:cs="宋体"/>
          <w:color w:val="ff0000"/>
          <w:sz w:val="28"/>
          <w:szCs w:val="28"/>
        </w:rPr>
      </w:r>
      <w:r>
        <w:rPr>
          <w:rFonts w:ascii="宋体" w:hAnsi="宋体" w:cs="宋体"/>
          <w:color w:val="ff0000"/>
          <w:sz w:val="28"/>
          <w:szCs w:val="28"/>
        </w:rPr>
      </w:r>
    </w:p>
    <w:p>
      <w:pPr>
        <w:rPr>
          <w:rFonts w:ascii="宋体" w:hAnsi="宋体" w:cs="宋体"/>
          <w:color w:val="ff0000"/>
          <w:sz w:val="28"/>
          <w:szCs w:val="28"/>
        </w:rPr>
      </w:pPr>
      <w:r>
        <w:rPr>
          <w:rFonts w:ascii="宋体" w:hAnsi="宋体" w:cs="宋体"/>
          <w:color w:val="ff0000"/>
          <w:sz w:val="28"/>
          <w:szCs w:val="28"/>
        </w:rPr>
      </w:r>
      <w:r>
        <w:rPr>
          <w:rFonts w:ascii="宋体" w:hAnsi="宋体" w:cs="宋体"/>
          <w:color w:val="ff0000"/>
          <w:sz w:val="28"/>
          <w:szCs w:val="28"/>
        </w:rPr>
      </w:r>
    </w:p>
    <w:p>
      <w:pPr>
        <w:rPr>
          <w:rFonts w:ascii="宋体" w:hAnsi="宋体" w:cs="宋体"/>
          <w:color w:val="ff0000"/>
          <w:sz w:val="28"/>
          <w:szCs w:val="28"/>
        </w:rPr>
      </w:pPr>
      <w:r>
        <w:rPr>
          <w:rFonts w:ascii="宋体" w:hAnsi="宋体" w:cs="宋体"/>
          <w:color w:val="ff0000"/>
          <w:sz w:val="28"/>
          <w:szCs w:val="28"/>
        </w:rPr>
      </w:r>
      <w:r>
        <w:rPr>
          <w:rFonts w:ascii="宋体" w:hAnsi="宋体" w:cs="宋体"/>
          <w:color w:val="ff0000"/>
          <w:sz w:val="28"/>
          <w:szCs w:val="28"/>
        </w:rPr>
      </w:r>
    </w:p>
    <w:p>
      <w:pPr>
        <w:rPr>
          <w:rFonts w:ascii="宋体" w:hAnsi="宋体" w:cs="宋体"/>
          <w:color w:val="ff0000"/>
          <w:sz w:val="28"/>
          <w:szCs w:val="28"/>
        </w:rPr>
      </w:pPr>
      <w:r>
        <w:rPr>
          <w:rFonts w:ascii="宋体" w:hAnsi="宋体" w:cs="宋体"/>
          <w:color w:val="ff0000"/>
          <w:sz w:val="28"/>
          <w:szCs w:val="28"/>
        </w:rPr>
      </w:r>
      <w:r>
        <w:rPr>
          <w:rFonts w:ascii="宋体" w:hAnsi="宋体" w:cs="宋体"/>
          <w:color w:val="ff0000"/>
          <w:sz w:val="28"/>
          <w:szCs w:val="28"/>
        </w:rPr>
      </w:r>
    </w:p>
    <w:p>
      <w:pPr>
        <w:rPr>
          <w:rFonts w:ascii="宋体" w:hAnsi="宋体" w:cs="宋体"/>
          <w:color w:val="ff0000"/>
          <w:sz w:val="28"/>
          <w:szCs w:val="28"/>
        </w:rPr>
      </w:pPr>
      <w:r>
        <w:rPr>
          <w:rFonts w:ascii="宋体" w:hAnsi="宋体" w:cs="宋体"/>
          <w:color w:val="ff0000"/>
          <w:sz w:val="28"/>
          <w:szCs w:val="28"/>
        </w:rPr>
      </w:r>
      <w:r/>
    </w:p>
    <w:p>
      <w:pPr>
        <w:pStyle w:val="716"/>
        <w:rPr>
          <w:rFonts w:ascii="宋体" w:hAnsi="宋体" w:cs="宋体"/>
          <w:color w:val="ff0000"/>
          <w:sz w:val="28"/>
          <w:szCs w:val="28"/>
        </w:rPr>
      </w:pPr>
      <w:r>
        <w:rPr>
          <w:rFonts w:ascii="宋体" w:hAnsi="宋体" w:cs="宋体"/>
          <w:color w:val="ff0000"/>
          <w:sz w:val="28"/>
          <w:szCs w:val="28"/>
        </w:rPr>
      </w:r>
      <w:r/>
    </w:p>
    <w:p>
      <w:pPr>
        <w:rPr>
          <w:rFonts w:ascii="宋体" w:hAnsi="宋体" w:cs="宋体"/>
          <w:color w:val="ff0000"/>
          <w:sz w:val="28"/>
          <w:szCs w:val="28"/>
        </w:rPr>
      </w:pPr>
      <w:r>
        <w:rPr>
          <w:rFonts w:ascii="宋体" w:hAnsi="宋体" w:cs="宋体"/>
          <w:color w:val="ff0000"/>
          <w:sz w:val="28"/>
          <w:szCs w:val="28"/>
        </w:rPr>
      </w:r>
      <w:r/>
    </w:p>
    <w:p>
      <w:pPr>
        <w:pStyle w:val="716"/>
      </w:pPr>
      <w:r/>
      <w:r/>
    </w:p>
    <w:p>
      <w:pPr>
        <w:rPr>
          <w:rFonts w:ascii="宋体" w:hAnsi="宋体" w:cs="宋体"/>
          <w:color w:val="ff0000"/>
          <w:sz w:val="28"/>
          <w:szCs w:val="28"/>
        </w:rPr>
      </w:pPr>
      <w:r>
        <w:rPr>
          <w:rFonts w:ascii="宋体" w:hAnsi="宋体" w:cs="宋体"/>
          <w:color w:val="ff0000"/>
          <w:sz w:val="28"/>
          <w:szCs w:val="28"/>
        </w:rPr>
      </w:r>
      <w:r/>
    </w:p>
    <w:p>
      <w:pPr>
        <w:pStyle w:val="716"/>
        <w:rPr>
          <w:rFonts w:ascii="宋体" w:hAnsi="宋体" w:cs="宋体"/>
          <w:color w:val="ff0000"/>
          <w:sz w:val="28"/>
          <w:szCs w:val="28"/>
        </w:rPr>
      </w:pPr>
      <w:r>
        <w:rPr>
          <w:rFonts w:ascii="宋体" w:hAnsi="宋体" w:cs="宋体"/>
          <w:color w:val="ff0000"/>
          <w:sz w:val="28"/>
          <w:szCs w:val="28"/>
        </w:rPr>
      </w:r>
      <w:r/>
    </w:p>
    <w:tbl>
      <w:tblPr>
        <w:tblW w:w="514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657"/>
        <w:gridCol w:w="737"/>
        <w:gridCol w:w="6273"/>
        <w:gridCol w:w="418"/>
        <w:gridCol w:w="469"/>
      </w:tblGrid>
      <w:tr>
        <w:trPr>
          <w:trHeight w:val="430"/>
        </w:trPr>
        <w:tc>
          <w:tcPr>
            <w:gridSpan w:val="6"/>
            <w:shd w:val="clear" w:color="auto" w:fill="e7e6e6"/>
            <w:tcW w:w="5000" w:type="pct"/>
            <w:vAlign w:val="center"/>
            <w:textDirection w:val="lrTb"/>
            <w:noWrap w:val="false"/>
          </w:tcPr>
          <w:p>
            <w:pPr>
              <w:jc w:val="center"/>
              <w:widowControl/>
              <w:rPr>
                <w:rFonts w:ascii="宋体" w:hAnsi="宋体" w:cs="宋体"/>
                <w:b/>
                <w:bCs/>
                <w:color w:val="000000" w:themeColor="text1"/>
                <w:sz w:val="18"/>
                <w:szCs w:val="18"/>
                <w:lang w:bidi="ar"/>
              </w:rPr>
            </w:pPr>
            <w:r>
              <w:rPr>
                <w:rFonts w:hint="eastAsia" w:ascii="宋体" w:hAnsi="宋体" w:cs="宋体"/>
                <w:b/>
                <w:bCs/>
                <w:color w:val="000000" w:themeColor="text1"/>
                <w:sz w:val="18"/>
                <w:szCs w:val="18"/>
                <w:lang w:bidi="ar"/>
              </w:rPr>
              <w:t xml:space="preserve">采购清单</w:t>
            </w:r>
            <w:r/>
          </w:p>
        </w:tc>
      </w:tr>
      <w:tr>
        <w:trPr>
          <w:trHeight w:val="430"/>
        </w:trPr>
        <w:tc>
          <w:tcPr>
            <w:shd w:val="clear" w:color="auto" w:fill="e7e6e6"/>
            <w:tcW w:w="311"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序号</w:t>
            </w:r>
            <w:r/>
          </w:p>
        </w:tc>
        <w:tc>
          <w:tcPr>
            <w:shd w:val="clear" w:color="auto" w:fill="e7e6e6"/>
            <w:tcW w:w="360"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项目名称</w:t>
            </w:r>
            <w:r/>
          </w:p>
        </w:tc>
        <w:tc>
          <w:tcPr>
            <w:shd w:val="clear" w:color="auto" w:fill="e7e6e6"/>
            <w:tcW w:w="404"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设备名称</w:t>
            </w:r>
            <w:r/>
          </w:p>
        </w:tc>
        <w:tc>
          <w:tcPr>
            <w:shd w:val="clear" w:color="auto" w:fill="e7e6e6"/>
            <w:tcW w:w="3439"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参数</w:t>
            </w:r>
            <w:r/>
          </w:p>
        </w:tc>
        <w:tc>
          <w:tcPr>
            <w:shd w:val="clear" w:color="auto" w:fill="e7e6e6"/>
            <w:tcW w:w="229"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数量</w:t>
            </w:r>
            <w:r/>
          </w:p>
        </w:tc>
        <w:tc>
          <w:tcPr>
            <w:shd w:val="clear" w:color="auto" w:fill="e7e6e6"/>
            <w:tcW w:w="254" w:type="pct"/>
            <w:vAlign w:val="center"/>
            <w:vMerge w:val="restart"/>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单位</w:t>
            </w:r>
            <w:r/>
          </w:p>
        </w:tc>
      </w:tr>
      <w:tr>
        <w:trPr>
          <w:trHeight w:val="332"/>
        </w:trPr>
        <w:tc>
          <w:tcPr>
            <w:shd w:val="clear" w:color="auto" w:fill="e7e6e6"/>
            <w:tcW w:w="311" w:type="pct"/>
            <w:vAlign w:val="center"/>
            <w:vMerge w:val="continue"/>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e7e6e6"/>
            <w:tcW w:w="360" w:type="pct"/>
            <w:vAlign w:val="center"/>
            <w:vMerge w:val="continue"/>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e7e6e6"/>
            <w:tcW w:w="404" w:type="pct"/>
            <w:vAlign w:val="center"/>
            <w:vMerge w:val="continue"/>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e7e6e6"/>
            <w:tcW w:w="3439" w:type="pct"/>
            <w:vAlign w:val="center"/>
            <w:vMerge w:val="continue"/>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e7e6e6"/>
            <w:tcW w:w="229" w:type="pct"/>
            <w:vAlign w:val="center"/>
            <w:vMerge w:val="continue"/>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e7e6e6"/>
            <w:tcW w:w="254" w:type="pct"/>
            <w:vAlign w:val="center"/>
            <w:vMerge w:val="continue"/>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r>
      <w:tr>
        <w:trPr>
          <w:trHeight w:val="5638"/>
        </w:trPr>
        <w:tc>
          <w:tcPr>
            <w:shd w:val="clear" w:color="auto" w:fill="auto"/>
            <w:tcW w:w="311"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360"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土壤</w:t>
            </w:r>
            <w:r/>
          </w:p>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监测</w:t>
            </w:r>
            <w:r/>
          </w:p>
        </w:tc>
        <w:tc>
          <w:tcPr>
            <w:shd w:val="clear" w:color="auto" w:fill="auto"/>
            <w:tcW w:w="404"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土壤</w:t>
            </w:r>
            <w:r/>
          </w:p>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监测站</w:t>
            </w:r>
            <w:r/>
          </w:p>
        </w:tc>
        <w:tc>
          <w:tcPr>
            <w:shd w:val="clear" w:color="auto" w:fill="auto"/>
            <w:tcW w:w="3439" w:type="pct"/>
            <w:vAlign w:val="center"/>
            <w:textDirection w:val="lrTb"/>
            <w:noWrap w:val="false"/>
          </w:tcPr>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土壤温湿度传感器：通过实时监测土壤温湿度情况，可以帮助种植户及时了解田间土壤墒情状况，合理施肥、灌溉，提高农作物的产量和品质。土壤湿度测量范围：0 - 100 %；土壤温度测量范围：-40 - 80 ºC。</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土壤pH值传感器：实时监测土壤pH情况，助力种植户及时了解田间土壤酸碱度状况，及时介入调控，助力农作物增产提质。量程：0~14PH；</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氮磷钾传感器：实时监测土壤氮磷钾情况，助力种植户及时了解田间土壤肥力状况，合理施肥，助力农作物增产提质。量程：0-1999mg/kg；</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管式多层土壤墒情监测仪：测量各土层温度。默认同时测量10cm（0cm-20cm）、30cm（20cm-40cm）、50cm（40cm-60cm)、80cm（60cm-100cm)土层的温度和湿度，适用于具有代表性土壤的长期不间断监测:</w:t>
            </w:r>
            <w:r>
              <w:rPr>
                <w:rFonts w:hint="eastAsia" w:ascii="宋体" w:hAnsi="宋体" w:cs="宋体"/>
                <w:sz w:val="18"/>
                <w:szCs w:val="18"/>
                <w:lang w:bidi="ar"/>
              </w:rPr>
              <w:br/>
              <w:t xml:space="preserve">4-1、土壤水分(体积含水量)测量范围:干土~水分饱和土，实验室测量精度:±3%，野外测量精度:±5%，湿度分辨率:0.1%；</w:t>
            </w:r>
            <w:r>
              <w:rPr>
                <w:rFonts w:hint="eastAsia" w:ascii="宋体" w:hAnsi="宋体" w:cs="宋体"/>
                <w:sz w:val="18"/>
                <w:szCs w:val="18"/>
                <w:lang w:bidi="ar"/>
              </w:rPr>
              <w:br/>
              <w:t xml:space="preserve">4-2、温度测量范围:-40℃~80℃，测量精度±2℃，温度分辨率:0.1°C；</w:t>
            </w:r>
            <w:r>
              <w:rPr>
                <w:rFonts w:hint="eastAsia" w:ascii="宋体" w:hAnsi="宋体" w:cs="宋体"/>
                <w:sz w:val="18"/>
                <w:szCs w:val="18"/>
                <w:lang w:bidi="ar"/>
              </w:rPr>
              <w:br/>
              <w:t xml:space="preserve">4-3、供电方式:太阳能供电;</w:t>
            </w:r>
            <w:r>
              <w:rPr>
                <w:rFonts w:hint="eastAsia" w:ascii="宋体" w:hAnsi="宋体" w:cs="宋体"/>
                <w:sz w:val="18"/>
                <w:szCs w:val="18"/>
                <w:lang w:bidi="ar"/>
              </w:rPr>
              <w:br/>
              <w:t xml:space="preserve">4-4、通讯方式:RS485通讯，MODBUS通讯协议，(波特率9600可设，地址0-255可设)；</w:t>
            </w:r>
            <w:r>
              <w:rPr>
                <w:rFonts w:hint="eastAsia" w:ascii="宋体" w:hAnsi="宋体" w:cs="宋体"/>
                <w:sz w:val="18"/>
                <w:szCs w:val="18"/>
                <w:lang w:bidi="ar"/>
              </w:rPr>
              <w:br/>
              <w:t xml:space="preserve">4-5、GPRS无线通讯。</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数据采集终端：采集模块，通过无线方式组建的局域网，将数据传输到数据采集网关位置，再由数据采集网关上传到云端，实现数据云监测。</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太阳能供电：传感器供电，太阳能板30W，电池12V9A。</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监测立杆：立杆高度1.5米，热镀锌防腐处理。</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监测柜：防水设计 300mm*250mm*150mm（含内部插座、空开等电器件）。</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混凝土地基：立杆水泥地基，含地笼。</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支架等辅材：配套安装需要的电线、套管、支架等辅材材料。</w:t>
            </w:r>
            <w:r/>
          </w:p>
          <w:p>
            <w:pPr>
              <w:jc w:val="left"/>
              <w:spacing w:line="220" w:lineRule="exact"/>
              <w:widowControl/>
              <w:rPr>
                <w:sz w:val="18"/>
                <w:szCs w:val="18"/>
              </w:rPr>
            </w:pPr>
            <w:r>
              <w:rPr>
                <w:rFonts w:hint="eastAsia" w:ascii="宋体" w:hAnsi="宋体" w:cs="宋体"/>
                <w:sz w:val="18"/>
                <w:szCs w:val="18"/>
                <w:lang w:bidi="ar"/>
              </w:rPr>
              <w:t xml:space="preserve">11、通讯模块：物联网专用卡1G/月,3年。</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auto"/>
            <w:tcW w:w="254"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套</w:t>
            </w:r>
            <w:r/>
          </w:p>
        </w:tc>
      </w:tr>
      <w:tr>
        <w:trPr>
          <w:trHeight w:val="90"/>
        </w:trPr>
        <w:tc>
          <w:tcPr>
            <w:shd w:val="clear" w:color="auto" w:fill="auto"/>
            <w:tcW w:w="311"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w:t>
            </w:r>
            <w:r/>
          </w:p>
        </w:tc>
        <w:tc>
          <w:tcPr>
            <w:shd w:val="clear" w:color="auto" w:fill="auto"/>
            <w:tcW w:w="360"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气象监测</w:t>
            </w:r>
            <w:r/>
          </w:p>
        </w:tc>
        <w:tc>
          <w:tcPr>
            <w:shd w:val="clear" w:color="auto" w:fill="auto"/>
            <w:tcW w:w="404"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农业小环境气象监测站</w:t>
            </w:r>
            <w:r/>
          </w:p>
        </w:tc>
        <w:tc>
          <w:tcPr>
            <w:shd w:val="clear" w:color="auto" w:fill="auto"/>
            <w:tcW w:w="3439"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1、气象七合一传感器：1-1.气象站具备IP67级别防水，12-24V DC。</w:t>
            </w:r>
            <w:r>
              <w:rPr>
                <w:rFonts w:hint="eastAsia" w:ascii="宋体" w:hAnsi="宋体" w:cs="宋体"/>
                <w:color w:val="000000" w:themeColor="text1"/>
                <w:sz w:val="18"/>
                <w:szCs w:val="18"/>
                <w:lang w:bidi="ar"/>
              </w:rPr>
              <w:br/>
              <w:t xml:space="preserve">1-2.风速：测量范围0-75 m/s，分辨率 0.1 m/s，测量精度±0.1 m/s。</w:t>
            </w:r>
            <w:r>
              <w:rPr>
                <w:rFonts w:hint="eastAsia" w:ascii="宋体" w:hAnsi="宋体" w:cs="宋体"/>
                <w:color w:val="000000" w:themeColor="text1"/>
                <w:sz w:val="18"/>
                <w:szCs w:val="18"/>
                <w:lang w:bidi="ar"/>
              </w:rPr>
              <w:br/>
              <w:t xml:space="preserve">1-3.风向：测量范围0°~ 360°，分辨率 0.1°，测量精度±1°。 </w:t>
            </w:r>
            <w:r>
              <w:rPr>
                <w:rFonts w:hint="eastAsia" w:ascii="宋体" w:hAnsi="宋体" w:cs="宋体"/>
                <w:color w:val="000000" w:themeColor="text1"/>
                <w:sz w:val="18"/>
                <w:szCs w:val="18"/>
                <w:lang w:bidi="ar"/>
              </w:rPr>
              <w:br/>
              <w:t xml:space="preserve">1-4.大气压力：测量范围 300-1250 hPa，分辨率0.1 hPa ，测量精度±1hPa 。</w:t>
            </w:r>
            <w:r>
              <w:rPr>
                <w:rFonts w:hint="eastAsia" w:ascii="宋体" w:hAnsi="宋体" w:cs="宋体"/>
                <w:color w:val="000000" w:themeColor="text1"/>
                <w:sz w:val="18"/>
                <w:szCs w:val="18"/>
                <w:lang w:bidi="ar"/>
              </w:rPr>
              <w:br/>
              <w:t xml:space="preserve">1-5.空气温度:温度范围-40°C～85℃，分辨率0.01℃ ，测量精度 ±0.1℃。</w:t>
            </w:r>
            <w:r>
              <w:rPr>
                <w:rFonts w:hint="eastAsia" w:ascii="宋体" w:hAnsi="宋体" w:cs="宋体"/>
                <w:color w:val="000000" w:themeColor="text1"/>
                <w:sz w:val="18"/>
                <w:szCs w:val="18"/>
                <w:lang w:bidi="ar"/>
              </w:rPr>
              <w:br/>
              <w:t xml:space="preserve">1-6.空气湿度:湿度测量范围0-100%RH ，分辨率0.01%RH ，测量精度±1.5%RH。</w:t>
            </w:r>
            <w:r>
              <w:rPr>
                <w:rFonts w:hint="eastAsia" w:ascii="宋体" w:hAnsi="宋体" w:cs="宋体"/>
                <w:color w:val="000000" w:themeColor="text1"/>
                <w:sz w:val="18"/>
                <w:szCs w:val="18"/>
                <w:lang w:bidi="ar"/>
              </w:rPr>
              <w:br/>
              <w:t xml:space="preserve">1-7.光照强度：测量范围0-20W Lux，分辨率1 Lux ，测量精度±2%。</w:t>
            </w:r>
            <w:r>
              <w:rPr>
                <w:rFonts w:hint="eastAsia" w:ascii="宋体" w:hAnsi="宋体" w:cs="宋体"/>
                <w:color w:val="000000" w:themeColor="text1"/>
                <w:sz w:val="18"/>
                <w:szCs w:val="18"/>
                <w:lang w:bidi="ar"/>
              </w:rPr>
              <w:br/>
              <w:t xml:space="preserve">1-8.雨量：测量范围0-9999mm，分辨率0.1mm ，测量精度±0.1mm。</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2、数据采集终端：采集模块，通过无线方式组建的局域网，将数据传输到数据采集网关位置，再由数据采集网关上传到云端，实现数据云监测。</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3、设备监测箱：防水设计300mm*400mm*180mm（含内部插座、空开等电器件）。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4、专用立杆：立杆高度 3 米，热镀锌防腐处理。</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5、太阳能供电：DC24V太阳能板。100A蓄电池，蓄电池盒。</w:t>
            </w:r>
            <w:r/>
          </w:p>
          <w:p>
            <w:pPr>
              <w:jc w:val="left"/>
              <w:spacing w:line="220" w:lineRule="exact"/>
              <w:widowControl/>
              <w:rPr>
                <w:color w:val="000000" w:themeColor="text1"/>
                <w:sz w:val="18"/>
                <w:szCs w:val="18"/>
              </w:rPr>
            </w:pPr>
            <w:r>
              <w:rPr>
                <w:rFonts w:hint="eastAsia" w:ascii="宋体" w:hAnsi="宋体" w:cs="宋体"/>
                <w:color w:val="000000" w:themeColor="text1"/>
                <w:sz w:val="18"/>
                <w:szCs w:val="18"/>
                <w:lang w:bidi="ar"/>
              </w:rPr>
              <w:t xml:space="preserve">6、通讯模块：物联网专用卡1G/月,3年。</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5</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1701" w:hRule="exact"/>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现场数据展示屏</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室外大田数据显示屏</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输出信号：RS485(标准ModBus通讯协议)。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显示屏尺寸：1.05米*0.57米。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规格：320*160模组，单块分辨率32*16。</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分辨率：整屏分辨率96*48。</w:t>
            </w:r>
            <w:r/>
          </w:p>
          <w:p>
            <w:pPr>
              <w:jc w:val="left"/>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auto"/>
            <w:tcW w:w="254"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套</w:t>
            </w:r>
            <w:r/>
          </w:p>
        </w:tc>
      </w:tr>
      <w:tr>
        <w:trPr>
          <w:trHeight w:val="7941"/>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5G智能无人巡田眼</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固定高清鹰眼摄像头</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1600万180°鹰眼_400万40倍_卫星定位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1600万180° 无盲区球型鹰眼，全景采用4个F1.0大光圈全彩镜头拼接而成，可输出180°大场景拼接画面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全景画面可支持关注区域畸变矫正，细节内置40倍变焦镜头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全景智能：Smart事件、人员密度、车辆拥堵；细节智能：全结构化、Smart事件、普通监控（高帧率）；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1、全景摄像机 4个1/1.8＂ 4MP Progressive Scan CMOS，最高分辨率及帧率可达6072x2640@30fps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视场角：水平180°，垂直110°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星光级超低照度，0.0005Lux/F1.0（彩色），0.0001Lux/F1.0（黑白）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2、细节摄像机 1/1.8＂ 4MP Progressive Scan CMOS，最高分辨率及帧率可达2688x1520@30fps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星光级超低照度，0.0005Lux/F1.2（彩色），0.0001Lux/F1.2（黑白），0 Lux with IR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40倍光学变倍，16倍数字变倍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水平360°连续旋转，垂直-15°-90°（自动翻转）</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采用高效红外阵列，低功耗，照射距离最远可达300m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3、系统参数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【全景】支持区域入侵侦测、越界侦测、进入区域、离开区域事件侦测功能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【全景】支持人员密度检测功能，检测覆盖范围半径100米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【全景】支持车辆拥堵检测功能，检测覆盖范围半径150米，推荐：在封闭式道路中可以做拥堵事件检测，推荐在高速、环线、快速路或者主干线</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【细节】支持区域入侵侦测、越界侦测、进入区域、离开区域事件侦测功能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【细节】支持全结构化：支持细节路混合目标检测，对检测区域内的人、非机动车、车进行同时抓拍上传，人脸人体关联输出，并实现对人脸、人体、车辆结构化属性特征信息提取</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支持点击联动功能，通过在客户端点击或者框选全景摄像机画面任意位置，细节跟踪摄像机可自动通过云台调整与变焦，将该区域置于画面中心。</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支持目标自动跟踪功能，通过设置智能事件规则，对设定区域内触发事件的运动目标在设定的跟踪时间内进行持续稳定跟踪。并可在跟踪过程中手动切换跟踪目标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支持手动选择跟踪目标，在设定跟踪时间内进行持续稳定跟踪</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光口（FC）+电口(RJ-45)网络接口设计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支持GB35114A级安全加密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AI-ISP：细节球机采用去噪卷积神经网络将深度结构、学习算法用于图像去噪，最终使画面成像更新清晰，噪点更小图像更干净</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支持北斗卫星定位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传感器类型：【全景】1/1.8＂ progressive scan CMOS,【细节】1/1.8＂ progressive scan CMOS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最低照度：【全景】0.0005Lux/F1.0（彩色），0.0001Lux/F1.0（黑白）；【细节】星光级超低照度，0.0005Lux/F1.2（彩色），0.0001Lux/F1.2（黑白），0 Lux with IR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宽动态：全景不支持，细节支持120dB超宽动态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光学变倍：40倍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焦距：【全景】2 mm；【细节】6~240 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视场角：水平视场角</w:t>
            </w:r>
            <w:r>
              <w:rPr>
                <w:rFonts w:hint="eastAsia" w:ascii="宋体" w:hAnsi="宋体" w:cs="宋体"/>
                <w:sz w:val="18"/>
                <w:szCs w:val="18"/>
                <w:lang w:bidi="ar"/>
              </w:rPr>
              <w:tab/>
              <w:t xml:space="preserve">56.6-1.8度(广角-望远)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垂直视场角</w:t>
            </w:r>
            <w:r>
              <w:rPr>
                <w:rFonts w:hint="eastAsia" w:ascii="宋体" w:hAnsi="宋体" w:cs="宋体"/>
                <w:sz w:val="18"/>
                <w:szCs w:val="18"/>
                <w:lang w:bidi="ar"/>
              </w:rPr>
              <w:tab/>
              <w:t xml:space="preserve">33.7-1.0度(广角-望远)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对角线视场角</w:t>
            </w:r>
            <w:r>
              <w:rPr>
                <w:rFonts w:hint="eastAsia" w:ascii="宋体" w:hAnsi="宋体" w:cs="宋体"/>
                <w:sz w:val="18"/>
                <w:szCs w:val="18"/>
                <w:lang w:bidi="ar"/>
              </w:rPr>
              <w:tab/>
              <w:t xml:space="preserve">63.4-2.0度(广角-望远)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红外照射距离：300m  防补光过曝：支持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水平范围：360°垂直范围：-15°-90°(自动翻转)</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水平速度：水平键控速度：0.1°-500°/s,速度可设;水平预置点速度：500°/s 垂直速度：垂直键控速度：0.1°-350°/s,速度可设;垂直预置点速度：350°/s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主码流帧率分辨率：全景：50Hz: 25fps (6072x2640,5520×2400, 4096×1800,3840×1680, 2784×1200) 60Hz: 30fps (6072x2640，5520×2400, 4096×1800，3840×1680, 2784×1200)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细节：50Hz:25fps (2688x1520，2560x1440,1920×1080,1280×960,1280x720) 60Hz:30fps （2688x1520，2560x1440,1920x1080,1280x960,1280x720)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视频压缩标准：H.265;H.264;MJPEG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卫星定位：支持北斗卫星定位 陀螺仪：支持 电子罗盘：支持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网络接口：RJ45网口;自适应10M/100M/1000M网络数据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光纤接口：FC接口;内置光纤模块;波长TX1310/RX1550nm;20km传输距离;单模单纤;1000M网络数据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SD卡扩展：内置Micro SD卡插槽，支持Micro SD/Micro SDHC/Micro SDXC卡（最大支持512G）</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报警：7路报警输入，2路报警输出 音频：1路音频输入，1路音频输出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RS485接口：采用半双工模式，支持自适应HIKVISION，PELCO-P和PELCO-D(可添加)协议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供电方式：DC36V；  整机平均功耗75w.最大功耗 90w</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工作温湿度：-40℃-70℃;湿度小于90%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恢复出厂设置：支持 除雾：支持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尺寸：Φ427.6x425.9mm 重量：净重 14.6kg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防护：IP67; 6000V 防雷、防浪涌、防突波，符合GB/T17626.2/3/4/5/6四级标准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▲全景通道最高分辨率不小于6072 x 2640，细节通道最高分辨率不小于2688 × 1520。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▲全景通道内置4个镜头、靶面尺寸不小于1/1.8英寸的CMOS传感器，细节通道内置1个镜头，靶面尺寸不小于1/1.8英寸的CMOS传感器。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▲设备在全景拼接模式下，垂直视场角不小于110°，水平视场角不小于180°。可将4个全景视频图像进行拼接，实现不小于180°拼接画面显示，并抓拍拼接后的图片。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注：带▲号条款须提供公安部出具的检验报告证明原件扫描件。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附件及辅材：</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专用支架：鹰眼高清摄像机专用支架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硬盘录像机：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存储接口：5个SATA接口，支持满配20TB硬盘；</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视频接口：2×HDMI，1×VGA。</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网络接口：2×RJ45 10/100/1000Mbps自适应以太网口</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报警接口：16路报警输入，4路报警输出。</w:t>
            </w:r>
            <w:r>
              <w:rPr>
                <w:rFonts w:hint="eastAsia" w:ascii="宋体" w:hAnsi="宋体" w:cs="宋体"/>
                <w:sz w:val="18"/>
                <w:szCs w:val="18"/>
                <w:lang w:bidi="ar"/>
              </w:rPr>
              <w:br/>
              <w:t xml:space="preserve">反向供电：1路DC12V 1A</w:t>
            </w:r>
            <w:r>
              <w:rPr>
                <w:rFonts w:hint="eastAsia" w:ascii="宋体" w:hAnsi="宋体" w:cs="宋体"/>
                <w:sz w:val="18"/>
                <w:szCs w:val="18"/>
                <w:lang w:bidi="ar"/>
              </w:rPr>
              <w:br/>
              <w:t xml:space="preserve">串行接口：1路RS-232接口，1路全双工RS-485接口</w:t>
            </w:r>
            <w:r>
              <w:rPr>
                <w:rFonts w:hint="eastAsia" w:ascii="宋体" w:hAnsi="宋体" w:cs="宋体"/>
                <w:sz w:val="18"/>
                <w:szCs w:val="18"/>
                <w:lang w:bidi="ar"/>
              </w:rPr>
              <w:br/>
              <w:t xml:space="preserve">USB接口：2×USB 2.0，1×USB 3.0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硬盘：8T数据硬盘；交换机：5口千兆交换机；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监控柜：防水设计300mm*400mm*180mm（含内部插座、空开等电器件）。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立杆：立杆，高度9米，主杆板厚8mm；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混凝土基础：立杆水泥地基，含地笼等预埋件，C25混凝土。</w:t>
            </w:r>
            <w:r/>
          </w:p>
          <w:p>
            <w:pPr>
              <w:jc w:val="left"/>
              <w:spacing w:line="220" w:lineRule="exact"/>
              <w:widowControl/>
              <w:rPr>
                <w:sz w:val="18"/>
                <w:szCs w:val="18"/>
              </w:rPr>
            </w:pPr>
            <w:r>
              <w:rPr>
                <w:rFonts w:hint="eastAsia" w:ascii="宋体" w:hAnsi="宋体" w:cs="宋体"/>
                <w:sz w:val="18"/>
                <w:szCs w:val="18"/>
                <w:lang w:bidi="ar"/>
              </w:rPr>
              <w:t xml:space="preserve">熔纤盒（含尾纤）；千兆光纤收发器；室外4星光纤。 </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r>
      <w:tr>
        <w:trPr>
          <w:trHeight w:val="4945"/>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农情、苗情监测站</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智能高速球型摄像机</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400万像素红外网络高清球机， 支持4G（移动、联通，电信）网络传输</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支持1/2.8" 400万23倍光学变焦镜头，采用高效补光阵列，低功耗，红外补光100m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具有300个预置位，设备可按照所设置的预置位完成8条巡航路径，可按照所设置轨迹完成4条模式路径；在控制云镜时，可实现RS485接口优先或RJ45网络接口优先控制功能。设备具有1个SIM卡插槽。支持区域入侵侦测，越界侦测，进入区域侦测和离开区域侦测等智能侦测</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适用于农田、森林，河道、水库、矿区、野外等场景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可对镜头前盖玻璃进行加热，去除玻璃上的冰状和水状附着物。</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支持超低照度，0.005 Lux @F1.6（彩色），0.001 Lux @F1.6（黑白），0 Lux with IR</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配件：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球机专用立杆：高度 5 米，热镀锌防腐处理。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监控柜：防水设计 300mm*400mm*180mm（含内部插座、空开等电器件）。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太阳能板：传感器供电，太阳能板50W。储能电池：100A蓄电池。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存储卡：256G视频存储卡。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视频流量卡：10G/月，3年。</w:t>
            </w:r>
            <w:r/>
          </w:p>
          <w:p>
            <w:pPr>
              <w:jc w:val="left"/>
              <w:spacing w:line="220" w:lineRule="exact"/>
              <w:widowControl/>
              <w:rPr>
                <w:sz w:val="18"/>
                <w:szCs w:val="18"/>
              </w:rPr>
            </w:pPr>
            <w:r>
              <w:rPr>
                <w:rFonts w:hint="eastAsia" w:ascii="宋体" w:hAnsi="宋体" w:cs="宋体"/>
                <w:sz w:val="18"/>
                <w:szCs w:val="18"/>
                <w:lang w:bidi="ar"/>
              </w:rPr>
              <w:t xml:space="preserve">基础设施：水泥地基，含地笼等预埋件，尺寸：80cm*60cm*60cm；C25混凝土。配套管线等辅材。</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color w:val="000000" w:themeColor="text1"/>
                <w:sz w:val="18"/>
                <w:szCs w:val="18"/>
                <w:lang w:bidi="ar"/>
              </w:rPr>
              <w:t xml:space="preserve">22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r>
      <w:tr>
        <w:trPr>
          <w:trHeight w:val="4945"/>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p>
            <w:pPr>
              <w:pStyle w:val="716"/>
              <w:jc w:val="center"/>
              <w:rPr>
                <w:color w:val="auto"/>
                <w:sz w:val="18"/>
                <w:szCs w:val="18"/>
              </w:rPr>
            </w:pPr>
            <w:r>
              <w:rPr>
                <w:rFonts w:hint="eastAsia"/>
                <w:color w:val="auto"/>
                <w:sz w:val="18"/>
                <w:szCs w:val="18"/>
              </w:rPr>
              <w:t xml:space="preserve">6</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农业遥感无人机（含机巢及数据分析管理系统）</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农业遥感无人机</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集成1个2000万像素可见光相机及4个500万像素的多光谱相机(绿光、红光，红边及近红外)，实现自动巡田，作物生长检测等应用。</w:t>
            </w:r>
            <w:r/>
          </w:p>
          <w:p>
            <w:pPr>
              <w:jc w:val="left"/>
              <w:spacing w:line="220" w:lineRule="exact"/>
              <w:widowControl/>
              <w:rPr>
                <w:rFonts w:ascii="宋体" w:hAnsi="宋体" w:cs="宋体"/>
                <w:sz w:val="18"/>
                <w:szCs w:val="18"/>
              </w:rPr>
            </w:pPr>
            <w:r>
              <w:rPr>
                <w:rFonts w:hint="eastAsia" w:ascii="宋体" w:hAnsi="宋体" w:cs="宋体"/>
                <w:sz w:val="18"/>
                <w:szCs w:val="18"/>
              </w:rPr>
              <w:t xml:space="preserve">1 、飞行器</w:t>
            </w:r>
            <w:r/>
          </w:p>
          <w:p>
            <w:pPr>
              <w:jc w:val="left"/>
              <w:spacing w:line="220" w:lineRule="exact"/>
              <w:widowControl/>
              <w:rPr>
                <w:rFonts w:ascii="宋体" w:hAnsi="宋体" w:cs="宋体"/>
                <w:sz w:val="18"/>
                <w:szCs w:val="18"/>
              </w:rPr>
            </w:pPr>
            <w:r>
              <w:rPr>
                <w:rFonts w:hint="eastAsia" w:ascii="宋体" w:hAnsi="宋体" w:cs="宋体"/>
                <w:sz w:val="18"/>
                <w:szCs w:val="18"/>
              </w:rPr>
              <w:t xml:space="preserve">起飞重量（无配件）：≤1000g；折叠后尺寸（长×宽×高）：≤225×100×130mm；对角线轴距：≥380 mm；最大信号有效距离（无干扰、无遮挡）：≥15km；最长飞行时间：≥40 分钟；最大可抗风速：≥12m/s；</w:t>
            </w:r>
            <w:r/>
          </w:p>
          <w:p>
            <w:pPr>
              <w:jc w:val="left"/>
              <w:spacing w:line="220" w:lineRule="exact"/>
              <w:widowControl/>
              <w:rPr>
                <w:rFonts w:ascii="宋体" w:hAnsi="宋体" w:cs="宋体"/>
                <w:sz w:val="18"/>
                <w:szCs w:val="18"/>
              </w:rPr>
            </w:pPr>
            <w:r>
              <w:rPr>
                <w:rFonts w:hint="eastAsia" w:ascii="宋体" w:hAnsi="宋体" w:cs="宋体"/>
                <w:sz w:val="18"/>
                <w:szCs w:val="18"/>
              </w:rPr>
              <w:t xml:space="preserve">全向感知系统：飞行器的前、后、左、右、上、下均具备视觉或红外避障传感器，能够在探测到障碍物时在App上进行提醒，并自动减速刹车；</w:t>
            </w:r>
            <w:r/>
          </w:p>
          <w:p>
            <w:pPr>
              <w:jc w:val="left"/>
              <w:spacing w:line="220" w:lineRule="exact"/>
              <w:widowControl/>
              <w:rPr>
                <w:rFonts w:ascii="宋体" w:hAnsi="宋体" w:cs="宋体"/>
                <w:sz w:val="18"/>
                <w:szCs w:val="18"/>
              </w:rPr>
            </w:pPr>
            <w:r>
              <w:rPr>
                <w:rFonts w:hint="eastAsia" w:ascii="宋体" w:hAnsi="宋体" w:cs="宋体"/>
                <w:sz w:val="18"/>
                <w:szCs w:val="18"/>
              </w:rPr>
              <w:t xml:space="preserve">GNSS：支持GPS+GLONASS+BEIDOU，支持单北斗模式；</w:t>
            </w:r>
            <w:r/>
          </w:p>
          <w:p>
            <w:pPr>
              <w:jc w:val="left"/>
              <w:spacing w:line="220" w:lineRule="exact"/>
              <w:widowControl/>
              <w:rPr>
                <w:rFonts w:ascii="宋体" w:hAnsi="宋体" w:cs="宋体"/>
                <w:sz w:val="18"/>
                <w:szCs w:val="18"/>
              </w:rPr>
            </w:pPr>
            <w:r>
              <w:rPr>
                <w:rFonts w:hint="eastAsia" w:ascii="宋体" w:hAnsi="宋体" w:cs="宋体"/>
                <w:sz w:val="18"/>
                <w:szCs w:val="18"/>
              </w:rPr>
              <w:t xml:space="preserve">工作环境温度：工作温度范围覆盖-10°C 至 40°C；</w:t>
            </w:r>
            <w:r/>
          </w:p>
          <w:p>
            <w:pPr>
              <w:jc w:val="left"/>
              <w:spacing w:line="220" w:lineRule="exact"/>
              <w:widowControl/>
              <w:rPr>
                <w:rFonts w:ascii="宋体" w:hAnsi="宋体" w:cs="宋体"/>
                <w:sz w:val="18"/>
                <w:szCs w:val="18"/>
              </w:rPr>
            </w:pPr>
            <w:r>
              <w:rPr>
                <w:rFonts w:hint="eastAsia" w:ascii="宋体" w:hAnsi="宋体" w:cs="宋体"/>
                <w:sz w:val="18"/>
                <w:szCs w:val="18"/>
              </w:rPr>
              <w:t xml:space="preserve">GNSS定位悬停精度：垂直≤0.5 m，水平≤0.5 m；</w:t>
            </w:r>
            <w:r/>
          </w:p>
          <w:p>
            <w:pPr>
              <w:jc w:val="left"/>
              <w:spacing w:line="220" w:lineRule="exact"/>
              <w:widowControl/>
              <w:rPr>
                <w:rFonts w:ascii="宋体" w:hAnsi="宋体" w:cs="宋体"/>
                <w:sz w:val="18"/>
                <w:szCs w:val="18"/>
              </w:rPr>
            </w:pPr>
            <w:r>
              <w:rPr>
                <w:rFonts w:hint="eastAsia" w:ascii="宋体" w:hAnsi="宋体" w:cs="宋体"/>
                <w:sz w:val="18"/>
                <w:szCs w:val="18"/>
              </w:rPr>
              <w:t xml:space="preserve">视觉定位悬停精度：垂直≤0.1 m，水平≤0.1 m；</w:t>
            </w:r>
            <w:r/>
          </w:p>
          <w:p>
            <w:pPr>
              <w:jc w:val="left"/>
              <w:spacing w:line="220" w:lineRule="exact"/>
              <w:widowControl/>
              <w:rPr>
                <w:rFonts w:ascii="宋体" w:hAnsi="宋体" w:cs="宋体"/>
                <w:sz w:val="18"/>
                <w:szCs w:val="18"/>
              </w:rPr>
            </w:pPr>
            <w:r>
              <w:rPr>
                <w:rFonts w:hint="eastAsia" w:ascii="宋体" w:hAnsi="宋体" w:cs="宋体"/>
                <w:sz w:val="18"/>
                <w:szCs w:val="18"/>
              </w:rPr>
              <w:t xml:space="preserve">展开时间：从携行状态到起飞状态的展开时间≤30s；</w:t>
            </w:r>
            <w:r/>
          </w:p>
          <w:p>
            <w:pPr>
              <w:jc w:val="left"/>
              <w:spacing w:line="220" w:lineRule="exact"/>
              <w:widowControl/>
              <w:rPr>
                <w:rFonts w:ascii="宋体" w:hAnsi="宋体" w:cs="宋体"/>
                <w:sz w:val="18"/>
                <w:szCs w:val="18"/>
              </w:rPr>
            </w:pPr>
            <w:r>
              <w:rPr>
                <w:rFonts w:hint="eastAsia" w:ascii="宋体" w:hAnsi="宋体" w:cs="宋体"/>
                <w:sz w:val="18"/>
                <w:szCs w:val="18"/>
              </w:rPr>
              <w:t xml:space="preserve">最大上升速度：≥6 m/s；最大下降速度：≥6 m/s ；</w:t>
            </w:r>
            <w:r/>
          </w:p>
          <w:p>
            <w:pPr>
              <w:jc w:val="left"/>
              <w:spacing w:line="220" w:lineRule="exact"/>
              <w:widowControl/>
              <w:rPr>
                <w:rFonts w:ascii="宋体" w:hAnsi="宋体" w:cs="宋体"/>
                <w:sz w:val="18"/>
                <w:szCs w:val="18"/>
              </w:rPr>
            </w:pPr>
            <w:r>
              <w:rPr>
                <w:rFonts w:hint="eastAsia" w:ascii="宋体" w:hAnsi="宋体" w:cs="宋体"/>
                <w:sz w:val="18"/>
                <w:szCs w:val="18"/>
              </w:rPr>
              <w:t xml:space="preserve">最大水平飞行速度：≥15m/s；最大飞行海拔高度：≥6000 米；</w:t>
            </w:r>
            <w:r/>
          </w:p>
          <w:p>
            <w:pPr>
              <w:jc w:val="left"/>
              <w:spacing w:line="220" w:lineRule="exact"/>
              <w:widowControl/>
              <w:rPr>
                <w:rFonts w:ascii="宋体" w:hAnsi="宋体" w:cs="宋体"/>
                <w:sz w:val="18"/>
                <w:szCs w:val="18"/>
              </w:rPr>
            </w:pPr>
            <w:r>
              <w:rPr>
                <w:rFonts w:hint="eastAsia" w:ascii="宋体" w:hAnsi="宋体" w:cs="宋体"/>
                <w:sz w:val="18"/>
                <w:szCs w:val="18"/>
              </w:rPr>
              <w:t xml:space="preserve">降落保护：在自主降落过程中，无人机飞行器能够检测下方地形.当下方地形为不平整地面或水面，飞行器保持悬停，同时通过地面站软件向用户发出警示信息；</w:t>
            </w:r>
            <w:r/>
          </w:p>
          <w:p>
            <w:pPr>
              <w:jc w:val="left"/>
              <w:spacing w:line="220" w:lineRule="exact"/>
              <w:widowControl/>
              <w:rPr>
                <w:rFonts w:ascii="宋体" w:hAnsi="宋体" w:cs="宋体"/>
                <w:sz w:val="18"/>
                <w:szCs w:val="18"/>
              </w:rPr>
            </w:pPr>
            <w:r>
              <w:rPr>
                <w:rFonts w:hint="eastAsia" w:ascii="宋体" w:hAnsi="宋体" w:cs="宋体"/>
                <w:sz w:val="18"/>
                <w:szCs w:val="18"/>
              </w:rPr>
              <w:t xml:space="preserve">具备飞行器自检功能；具备低电量自动返航功能；具备信号丢失自动返航功能。</w:t>
            </w:r>
            <w:r/>
          </w:p>
          <w:p>
            <w:pPr>
              <w:jc w:val="left"/>
              <w:spacing w:line="220" w:lineRule="exact"/>
              <w:widowControl/>
              <w:rPr>
                <w:rFonts w:ascii="宋体" w:hAnsi="宋体" w:cs="宋体"/>
                <w:sz w:val="18"/>
                <w:szCs w:val="18"/>
              </w:rPr>
            </w:pPr>
            <w:r>
              <w:rPr>
                <w:rFonts w:hint="eastAsia" w:ascii="宋体" w:hAnsi="宋体" w:cs="宋体"/>
                <w:sz w:val="18"/>
                <w:szCs w:val="18"/>
              </w:rPr>
              <w:t xml:space="preserve">2 、可见光相机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可见光相机CMOS：具备可见光测绘相机，相机CMOS不低于4/3英寸；</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可见光相机像素：有效像素不低于2000万；</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可见光相机像元尺寸：像元尺寸不小于3.3um；</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可见光相机机械快门：相机具有机械快门；</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可见光相机连续拍照间隔：最短连续拍照间隔不低于0.7秒；</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可见光相机内参标定：提供内参标定参数。</w:t>
            </w:r>
            <w:r/>
          </w:p>
          <w:p>
            <w:pPr>
              <w:jc w:val="left"/>
              <w:spacing w:line="220" w:lineRule="exact"/>
              <w:widowControl/>
              <w:rPr>
                <w:rFonts w:ascii="宋体" w:hAnsi="宋体" w:cs="宋体"/>
                <w:sz w:val="18"/>
                <w:szCs w:val="18"/>
              </w:rPr>
            </w:pPr>
            <w:r>
              <w:rPr>
                <w:rFonts w:hint="eastAsia" w:ascii="宋体" w:hAnsi="宋体" w:cs="宋体"/>
                <w:sz w:val="18"/>
                <w:szCs w:val="18"/>
              </w:rPr>
              <w:t xml:space="preserve">3 、多光谱相机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多光谱相机：除可见光相机外，应具备绿、红、红边、近红外多光谱相机；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多光谱相机有效像素：多光谱相机有效像素不低于500万；</w:t>
            </w:r>
            <w:r/>
          </w:p>
          <w:p>
            <w:pPr>
              <w:jc w:val="left"/>
              <w:spacing w:line="220" w:lineRule="exact"/>
              <w:widowControl/>
              <w:rPr>
                <w:rFonts w:ascii="宋体" w:hAnsi="宋体" w:cs="宋体"/>
                <w:sz w:val="18"/>
                <w:szCs w:val="18"/>
              </w:rPr>
            </w:pPr>
            <w:r>
              <w:rPr>
                <w:rFonts w:hint="eastAsia" w:ascii="宋体" w:hAnsi="宋体" w:cs="宋体"/>
                <w:sz w:val="18"/>
                <w:szCs w:val="18"/>
              </w:rPr>
              <w:t xml:space="preserve">绿波段多光谱相机波段范围：绿波段多光谱相机波段在560nm±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红波段多光谱相机波段范围：红波段多光谱相机波段在650nm±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红边波段多光谱相机波段范围：红边波段多光谱相机波段在730nm±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近红外波段多光谱相机波段范围：近红外波段多光谱相机波段在860nm±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4 、航线软件功能</w:t>
            </w:r>
            <w:r/>
          </w:p>
          <w:p>
            <w:pPr>
              <w:jc w:val="left"/>
              <w:spacing w:line="220" w:lineRule="exact"/>
              <w:widowControl/>
              <w:rPr>
                <w:rFonts w:ascii="宋体" w:hAnsi="宋体" w:cs="宋体"/>
                <w:sz w:val="18"/>
                <w:szCs w:val="18"/>
              </w:rPr>
            </w:pPr>
            <w:r>
              <w:rPr>
                <w:rFonts w:hint="eastAsia" w:ascii="宋体" w:hAnsi="宋体" w:cs="宋体"/>
                <w:sz w:val="18"/>
                <w:szCs w:val="18"/>
              </w:rPr>
              <w:t xml:space="preserve">航线功能：支持航点、正射、倾斜、航带、仿地等多种航线作业类型；</w:t>
            </w:r>
            <w:r/>
          </w:p>
          <w:p>
            <w:pPr>
              <w:jc w:val="left"/>
              <w:spacing w:line="220" w:lineRule="exact"/>
              <w:widowControl/>
              <w:rPr>
                <w:rFonts w:ascii="宋体" w:hAnsi="宋体" w:cs="宋体"/>
                <w:sz w:val="18"/>
                <w:szCs w:val="18"/>
              </w:rPr>
            </w:pPr>
            <w:r>
              <w:rPr>
                <w:rFonts w:hint="eastAsia" w:ascii="宋体" w:hAnsi="宋体" w:cs="宋体"/>
                <w:sz w:val="18"/>
                <w:szCs w:val="18"/>
              </w:rPr>
              <w:t xml:space="preserve">实时仿地：无人机可实现自主实时仿地；</w:t>
            </w:r>
            <w:r/>
          </w:p>
          <w:p>
            <w:pPr>
              <w:jc w:val="left"/>
              <w:spacing w:line="220" w:lineRule="exact"/>
              <w:widowControl/>
              <w:rPr>
                <w:rFonts w:ascii="宋体" w:hAnsi="宋体" w:cs="宋体"/>
                <w:sz w:val="18"/>
                <w:szCs w:val="18"/>
              </w:rPr>
            </w:pPr>
            <w:r>
              <w:rPr>
                <w:rFonts w:hint="eastAsia" w:ascii="宋体" w:hAnsi="宋体" w:cs="宋体"/>
                <w:sz w:val="18"/>
                <w:szCs w:val="18"/>
              </w:rPr>
              <w:t xml:space="preserve">实时NDVI：支持实时NDVI植被指数查看；</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可见光测绘：可单独使用可见光相机进行测绘作业；</w:t>
            </w:r>
            <w:r/>
          </w:p>
          <w:p>
            <w:pPr>
              <w:jc w:val="left"/>
              <w:spacing w:line="220" w:lineRule="exact"/>
              <w:widowControl/>
              <w:rPr>
                <w:rFonts w:ascii="宋体" w:hAnsi="宋体" w:cs="宋体"/>
                <w:sz w:val="18"/>
                <w:szCs w:val="18"/>
              </w:rPr>
            </w:pPr>
            <w:r>
              <w:rPr>
                <w:rFonts w:hint="eastAsia" w:ascii="宋体" w:hAnsi="宋体" w:cs="宋体"/>
                <w:sz w:val="18"/>
                <w:szCs w:val="18"/>
              </w:rPr>
              <w:t xml:space="preserve">密码保护:支持通过密码保护无人机机身存储的图像视频数据；</w:t>
            </w:r>
            <w:r/>
          </w:p>
          <w:p>
            <w:pPr>
              <w:jc w:val="left"/>
              <w:spacing w:line="220" w:lineRule="exact"/>
              <w:widowControl/>
              <w:rPr>
                <w:rFonts w:ascii="宋体" w:hAnsi="宋体" w:cs="宋体"/>
                <w:sz w:val="18"/>
                <w:szCs w:val="18"/>
              </w:rPr>
            </w:pPr>
            <w:r>
              <w:rPr>
                <w:rFonts w:hint="eastAsia" w:ascii="宋体" w:hAnsi="宋体" w:cs="宋体"/>
                <w:sz w:val="18"/>
                <w:szCs w:val="18"/>
              </w:rPr>
              <w:t xml:space="preserve">5、图传：工作频段：支持2.4G、5.8G图传；4G增强图传：支持4G dongle。</w:t>
            </w:r>
            <w:r/>
          </w:p>
          <w:p>
            <w:pPr>
              <w:jc w:val="left"/>
              <w:spacing w:line="220" w:lineRule="exact"/>
              <w:widowControl/>
              <w:rPr>
                <w:rFonts w:ascii="宋体" w:hAnsi="宋体" w:cs="宋体"/>
                <w:sz w:val="18"/>
                <w:szCs w:val="18"/>
              </w:rPr>
            </w:pPr>
            <w:r>
              <w:rPr>
                <w:rFonts w:hint="eastAsia" w:ascii="宋体" w:hAnsi="宋体" w:cs="宋体"/>
                <w:sz w:val="18"/>
                <w:szCs w:val="18"/>
              </w:rPr>
              <w:t xml:space="preserve">6、堵转保护：正在空转的电机被堵转后，1 秒内驱动器应切入保护状态，将电流降低到安全电流内。整个过程中驱动器应保证超过安全电流的时间总和不超过 0.2 秒。</w:t>
            </w:r>
            <w:r/>
          </w:p>
          <w:p>
            <w:pPr>
              <w:jc w:val="left"/>
              <w:spacing w:line="220" w:lineRule="exact"/>
              <w:widowControl/>
              <w:rPr>
                <w:rFonts w:ascii="宋体" w:hAnsi="宋体" w:cs="宋体"/>
                <w:sz w:val="18"/>
                <w:szCs w:val="18"/>
              </w:rPr>
            </w:pPr>
            <w:r>
              <w:rPr>
                <w:rFonts w:hint="eastAsia" w:ascii="宋体" w:hAnsi="宋体" w:cs="宋体"/>
                <w:sz w:val="18"/>
                <w:szCs w:val="18"/>
              </w:rPr>
              <w:t xml:space="preserve">7、温升：产品在正常工作条件下，其外壳温度不应超过 65℃，机内发热部件连续工作4h 后，其温升不应超过该部件的规定。</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8、高温储存：样品状态：不通电，不包装； 试验温度：(45±2)℃ ；试验时间：8h ；恢复时间：1h ；试验后，设备能稳定工作，各模块无工作异常。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9、高温工作：样品状态：通电工作；试验温度：(40±2)℃ ；试验时间：12h ；恢复时间：1h；试验中和试验后，设备能稳定工作，各模块无工作异常。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10、低温储存：样品状态：不通电，不包装；试验温度：(10±2)℃ ；试验时间：8h；恢复时间：1h；试验后，设备能稳定工作，各模块无工工作异常。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11、盐雾：样品状态：不包装，不工作；盐雾试验条件：试验箱温度：（35±2）℃；氯化钠溶液质量百分比浓度：5%±1%；PH 值：6.5 ～ 7.2；盐雾沉降量（ml/80cm2/h）：1.0～2.0；喷雾方式：连续喷雾；喷雾时间：盐雾试验 8 小时；试验后，样品应能够正常工作。</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12、无人机设备包含3年保险。</w:t>
            </w:r>
            <w:r/>
          </w:p>
          <w:p>
            <w:pPr>
              <w:pStyle w:val="737"/>
              <w:ind w:firstLine="0"/>
              <w:spacing w:line="220" w:lineRule="exact"/>
              <w:widowControl/>
              <w:rPr>
                <w:rFonts w:eastAsia="宋体" w:cs="宋体"/>
                <w:sz w:val="18"/>
                <w:szCs w:val="18"/>
              </w:rPr>
            </w:pPr>
            <w:r>
              <w:rPr>
                <w:rFonts w:hint="eastAsia" w:eastAsia="宋体" w:cs="宋体"/>
                <w:sz w:val="18"/>
                <w:szCs w:val="18"/>
              </w:rPr>
              <w:t xml:space="preserve">注：</w:t>
            </w:r>
            <w:r>
              <w:rPr>
                <w:rFonts w:hint="eastAsia" w:eastAsia="宋体" w:cs="宋体"/>
                <w:sz w:val="18"/>
                <w:szCs w:val="18"/>
              </w:rPr>
              <w:t xml:space="preserve">带▲号条款须提供具有CNAS或CMA标识的产品检测报告原件扫描件。</w:t>
            </w:r>
            <w:r/>
          </w:p>
        </w:tc>
        <w:tc>
          <w:tcPr>
            <w:shd w:val="clear" w:color="auto" w:fill="auto"/>
            <w:tcW w:w="229"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w:t>
            </w:r>
            <w:r/>
          </w:p>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254"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2746"/>
        </w:trPr>
        <w:tc>
          <w:tcPr>
            <w:shd w:val="clear" w:color="auto" w:fill="auto"/>
            <w:tcW w:w="311" w:type="pct"/>
            <w:vAlign w:val="center"/>
            <w:vMerge w:val="restart"/>
            <w:textDirection w:val="lrTb"/>
            <w:noWrap/>
          </w:tcPr>
          <w:p>
            <w:pPr>
              <w:pStyle w:val="716"/>
              <w:rPr>
                <w:color w:val="000000" w:themeColor="text1"/>
                <w:sz w:val="18"/>
                <w:szCs w:val="18"/>
              </w:rPr>
            </w:pPr>
            <w:r>
              <w:rPr>
                <w:color w:val="000000" w:themeColor="text1"/>
                <w:sz w:val="18"/>
                <w:szCs w:val="18"/>
              </w:rPr>
            </w:r>
            <w:r/>
          </w:p>
        </w:tc>
        <w:tc>
          <w:tcPr>
            <w:shd w:val="clear" w:color="auto" w:fill="auto"/>
            <w:tcW w:w="360" w:type="pct"/>
            <w:vAlign w:val="center"/>
            <w:vMerge w:val="restart"/>
            <w:textDirection w:val="lrTb"/>
            <w:noWrap w:val="false"/>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404"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无人值守机场（机巢）</w:t>
            </w:r>
            <w:r/>
          </w:p>
        </w:tc>
        <w:tc>
          <w:tcPr>
            <w:shd w:val="clear" w:color="auto" w:fill="auto"/>
            <w:tcW w:w="3439"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1.功能：支持无人机自动起降、自主充电；航拍数据自动回传：支持7×24小时无人值守作业；</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2.尺寸：≥640mm×745mm×465 mm；重量:≥55kg；电源：220V市电；</w:t>
            </w:r>
            <w:r/>
          </w:p>
          <w:p>
            <w:pPr>
              <w:jc w:val="left"/>
              <w:spacing w:line="220" w:lineRule="exact"/>
              <w:widowControl/>
              <w:rPr>
                <w:color w:val="000000" w:themeColor="text1"/>
                <w:sz w:val="18"/>
                <w:szCs w:val="18"/>
              </w:rPr>
            </w:pPr>
            <w:r>
              <w:rPr>
                <w:rFonts w:hint="eastAsia" w:ascii="宋体" w:hAnsi="宋体" w:cs="宋体"/>
                <w:color w:val="000000" w:themeColor="text1"/>
                <w:sz w:val="18"/>
                <w:szCs w:val="18"/>
                <w:lang w:bidi="ar"/>
              </w:rPr>
              <w:t xml:space="preserve">3.气象监测指标：空气温度、空气湿度、雨量、风速；</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▲4.工作环境：-40℃至55℃（提供具有CMA标识的检测报告原件扫描件）；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▲5.防护等级：≥IP55（提供具有CMA标识的检测报告原件扫描件）；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▲6.机库同步具备气象参数数据采集功能，同时支持自定义云设置（提供具有CMA标识的检测报告原件扫描件）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7.图传延时：≤2.0秒；</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8.机场控制与数据管理需支持接入苏农云平台；</w:t>
            </w:r>
            <w:r/>
          </w:p>
          <w:p>
            <w:pPr>
              <w:jc w:val="left"/>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▲9.数据传输：支持可见光、多光谱4波段（绿/红/红边/近红外）航拍图像远程自主回传。（需要提供系统截图并加盖投标人公章）</w:t>
            </w:r>
            <w:r/>
          </w:p>
        </w:tc>
        <w:tc>
          <w:tcPr>
            <w:shd w:val="clear" w:color="auto" w:fill="auto"/>
            <w:tcW w:w="229"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254"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3708"/>
        </w:trPr>
        <w:tc>
          <w:tcPr>
            <w:shd w:val="clear" w:color="auto" w:fill="auto"/>
            <w:tcW w:w="311" w:type="pct"/>
            <w:vAlign w:val="center"/>
            <w:vMerge w:val="continue"/>
            <w:textDirection w:val="lrTb"/>
            <w:noWrap/>
          </w:tcPr>
          <w:p>
            <w:pPr>
              <w:pStyle w:val="716"/>
              <w:rPr>
                <w:color w:val="000000" w:themeColor="text1"/>
                <w:sz w:val="18"/>
                <w:szCs w:val="18"/>
              </w:rPr>
            </w:pPr>
            <w:r>
              <w:rPr>
                <w:color w:val="000000" w:themeColor="text1"/>
                <w:sz w:val="18"/>
                <w:szCs w:val="18"/>
              </w:rPr>
            </w:r>
            <w:r/>
          </w:p>
        </w:tc>
        <w:tc>
          <w:tcPr>
            <w:shd w:val="clear" w:color="auto" w:fill="auto"/>
            <w:tcW w:w="360" w:type="pct"/>
            <w:vAlign w:val="center"/>
            <w:vMerge w:val="continue"/>
            <w:textDirection w:val="lrTb"/>
            <w:noWrap w:val="false"/>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404"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无人机智能巡田飞控分析软件服务</w:t>
            </w:r>
            <w:r/>
          </w:p>
        </w:tc>
        <w:tc>
          <w:tcPr>
            <w:shd w:val="clear" w:color="auto" w:fill="auto"/>
            <w:tcW w:w="3439"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1.终端设备管理：机巢与无人机设备信息维护；机巢及飞机位置（经纬度）、状态显示；飞行情况统计；</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2.飞行控制管理：飞行控制（一键起飞或进仓/出仓等指令）；无人机航线规划；巡飞定时任务计划管理；</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3.飞行记录管理：飞行任务列表；飞行轨迹回溯；无人机实时状态（速度、高度、时长、风力、充电状态）；无人机及机巢实时影像（舱内、舱外）；航拍图片查看；</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4.影像拼接制图：可见光、NDVI正射影像制图；</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5.农情分析：农情分析结果查看；农情分析报告下载；综合决策建议；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6.基础配置管理：设备信息维护，地块信息维护，算法库配置；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7.算法包含：长势、倒伏、苗情、产量等四种专业算法模型和处方；</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支持飞行控制、航线规划、图像拼接、农情（长势、苗情、产量、倒伏等）分析等功能在同一平台内，并实现数据与省级管控平台（“苏农云”）实现接口级对接；（提供承诺函和系统截图并加盖投标人公章）</w:t>
            </w:r>
            <w:r/>
          </w:p>
          <w:p>
            <w:pPr>
              <w:jc w:val="left"/>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▲9.提供智能巡田分析系统、无人机机场操控平台等与本项目建设内容相关的软件著作权证书原件扫描件。</w:t>
            </w:r>
            <w:r/>
          </w:p>
        </w:tc>
        <w:tc>
          <w:tcPr>
            <w:shd w:val="clear" w:color="auto" w:fill="auto"/>
            <w:tcW w:w="229"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254"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3491"/>
        </w:trPr>
        <w:tc>
          <w:tcPr>
            <w:shd w:val="clear" w:color="auto" w:fill="auto"/>
            <w:tcW w:w="311" w:type="pct"/>
            <w:vAlign w:val="center"/>
            <w:textDirection w:val="lrTb"/>
            <w:noWrap/>
          </w:tcPr>
          <w:p>
            <w:pPr>
              <w:pStyle w:val="716"/>
              <w:jc w:val="center"/>
              <w:rPr>
                <w:color w:val="auto"/>
                <w:sz w:val="18"/>
                <w:szCs w:val="18"/>
              </w:rPr>
            </w:pPr>
            <w:r>
              <w:rPr>
                <w:rFonts w:hint="eastAsia"/>
                <w:color w:val="auto"/>
                <w:sz w:val="18"/>
                <w:szCs w:val="18"/>
              </w:rPr>
              <w:t xml:space="preserve">7</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农作处方应用</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水稻、小麦模型算法及生产处方</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依据无人机/卫星遥感诊断结果、作物长势监测数据以及土壤养分分布信息，结合水稻模型和小麦模型，在作物生长的各个生长关键期，形成各个田块的处方设计图，包括施肥处方图、灌溉处方图及施药处方图。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1、采用大数据AI算法，由传感器监测感知空气、土壤、植物本体数据，融合deepseek等大语言模型，提供水稻小麦大田种植各阶段管理建议。</w:t>
            </w:r>
            <w:r>
              <w:rPr>
                <w:rFonts w:hint="eastAsia" w:ascii="宋体" w:hAnsi="宋体" w:cs="宋体"/>
                <w:sz w:val="18"/>
                <w:szCs w:val="18"/>
                <w:lang w:bidi="ar"/>
              </w:rPr>
              <w:br/>
              <w:t xml:space="preserve">2、采用大数据算法和专家系统相结合，为水稻小麦提供精准生长调控模型。</w:t>
            </w:r>
            <w:r>
              <w:rPr>
                <w:rFonts w:hint="eastAsia" w:ascii="宋体" w:hAnsi="宋体" w:cs="宋体"/>
                <w:sz w:val="18"/>
                <w:szCs w:val="18"/>
                <w:lang w:bidi="ar"/>
              </w:rPr>
              <w:br/>
              <w:t xml:space="preserve">3、融合水稻、小麦专家知识库，提升模型准确度。</w:t>
            </w:r>
            <w:r/>
          </w:p>
          <w:p>
            <w:pPr>
              <w:jc w:val="left"/>
              <w:spacing w:line="220" w:lineRule="exact"/>
              <w:widowControl/>
              <w:rPr>
                <w:rFonts w:ascii="宋体" w:hAnsi="宋体" w:cs="宋体"/>
                <w:sz w:val="18"/>
                <w:szCs w:val="18"/>
              </w:rPr>
            </w:pPr>
            <w:r>
              <w:rPr>
                <w:rFonts w:hint="eastAsia" w:ascii="宋体" w:hAnsi="宋体" w:cs="宋体"/>
                <w:sz w:val="18"/>
                <w:szCs w:val="18"/>
              </w:rPr>
              <w:t xml:space="preserve">▲4、可根据不同作物的环境特性，设定适宜的预警阈值，数据异常情况将自动提醒相关农事管理者。（提供具有检测资质的机构出具的带有CNAS标识的产品检测报告</w:t>
            </w:r>
            <w:r>
              <w:rPr>
                <w:rFonts w:hint="eastAsia" w:ascii="宋体" w:hAnsi="宋体" w:cs="宋体"/>
                <w:sz w:val="18"/>
                <w:szCs w:val="18"/>
                <w:lang w:bidi="ar"/>
              </w:rPr>
              <w:t xml:space="preserve">原件扫描件</w:t>
            </w:r>
            <w:r>
              <w:rPr>
                <w:rFonts w:hint="eastAsia" w:ascii="宋体" w:hAnsi="宋体" w:cs="宋体"/>
                <w:sz w:val="18"/>
                <w:szCs w:val="18"/>
              </w:rPr>
              <w:t xml:space="preserve">）</w:t>
            </w:r>
            <w:r/>
          </w:p>
          <w:p>
            <w:pPr>
              <w:jc w:val="left"/>
              <w:spacing w:line="220" w:lineRule="exact"/>
              <w:widowControl/>
              <w:rPr>
                <w:rFonts w:ascii="宋体" w:hAnsi="宋体" w:cs="宋体"/>
                <w:sz w:val="18"/>
                <w:szCs w:val="18"/>
              </w:rPr>
            </w:pPr>
            <w:r>
              <w:rPr>
                <w:rFonts w:hint="eastAsia" w:ascii="宋体" w:hAnsi="宋体" w:cs="宋体"/>
                <w:sz w:val="18"/>
                <w:szCs w:val="18"/>
              </w:rPr>
              <w:t xml:space="preserve">▲5、可展示不同时间段作物生长过程，进行年度生长过程对比，反映作物持续生长的差异性。（提供具有检测资质的机构出具的带有CNAS标识的产品检测报告</w:t>
            </w:r>
            <w:r>
              <w:rPr>
                <w:rFonts w:hint="eastAsia" w:ascii="宋体" w:hAnsi="宋体" w:cs="宋体"/>
                <w:sz w:val="18"/>
                <w:szCs w:val="18"/>
                <w:lang w:bidi="ar"/>
              </w:rPr>
              <w:t xml:space="preserve">原件扫描件</w:t>
            </w:r>
            <w:r>
              <w:rPr>
                <w:rFonts w:hint="eastAsia" w:ascii="宋体" w:hAnsi="宋体" w:cs="宋体"/>
                <w:sz w:val="18"/>
                <w:szCs w:val="18"/>
              </w:rPr>
              <w:t xml:space="preserve">）</w:t>
            </w:r>
            <w:r/>
          </w:p>
          <w:p>
            <w:pPr>
              <w:numPr>
                <w:ilvl w:val="0"/>
                <w:numId w:val="5"/>
              </w:numPr>
              <w:jc w:val="left"/>
              <w:spacing w:line="220" w:lineRule="exact"/>
              <w:widowControl/>
              <w:rPr>
                <w:sz w:val="18"/>
                <w:szCs w:val="18"/>
              </w:rPr>
            </w:pPr>
            <w:r>
              <w:rPr>
                <w:rFonts w:hint="eastAsia" w:ascii="宋体" w:hAnsi="宋体" w:cs="宋体"/>
                <w:sz w:val="18"/>
                <w:szCs w:val="18"/>
                <w:lang w:bidi="ar"/>
              </w:rPr>
              <w:t xml:space="preserve">提供覆盖泰兴全域的每茬稻麦作物的长势监测（卫星遥感），3年。</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2838"/>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8</w:t>
            </w:r>
            <w:r/>
          </w:p>
        </w:tc>
        <w:tc>
          <w:tcPr>
            <w:shd w:val="clear" w:color="auto" w:fill="auto"/>
            <w:tcW w:w="360" w:type="pct"/>
            <w:vAlign w:val="center"/>
            <w:vMerge w:val="restart"/>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病虫害自动监测</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智能虫情测报灯</w:t>
            </w:r>
            <w:r/>
          </w:p>
        </w:tc>
        <w:tc>
          <w:tcPr>
            <w:shd w:val="clear" w:color="auto" w:fill="auto"/>
            <w:tcW w:w="3439"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2、整体结构采用不锈钢，采用光、电、数控技术，远程自动控制及识别计数。具漏电保护、避雷和防雨装置，雨虫分离技术，有防雨百叶，下雨天可以正常工作，正常捕虫，集虫器内不积水；</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w:t>
            </w:r>
            <w:r>
              <w:rPr>
                <w:rFonts w:hint="eastAsia" w:ascii="宋体" w:hAnsi="宋体" w:cs="宋体"/>
                <w:color w:val="000000" w:themeColor="text1"/>
                <w:sz w:val="18"/>
                <w:szCs w:val="18"/>
                <w:lang w:bidi="ar"/>
              </w:rPr>
              <w:t xml:space="preserve">种常见害虫，识别准确率≥91%，对一二类农作物病虫害名录中趋光性害虫的单种类识别计数准确率≥96%；（提供具有检测资质的机构出具的带有CNAS或CMA标识的检测报告原件扫描件）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6、摄像头:≥2500W工业相机，显示屏:&gt;7寸电容式触摸屏，系统:≥Android4.0；苗情球机监控：≥400W；</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对拍完照的虫子，需要保留标本的留在储存仓内，可分天存储7天以上，人工定期去收集,对于不需要标本的，虫子直接排出机器外部，避免人工去现场维护；（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9、虫体处理，仓温度 85士5℃，烘干时间≤5 分钟虫体处理致死率100%，虫体完整率100%；（提供具有检测资质的机构出具的带有CNAS或CMA标识的检测报告原件扫描件）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10、光源:20W黑光灯;波长:320~680nm，撞击屏长≥590mm，宽≥210mm，厚≥5mm，三块撞击屏角度为120°；</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▲11、采集数据实现自动远程传输，并可按要求接入国家级、省级、市级、县级和当地相关农作物有害生物监控信息系统；（提供具有检测资质的机构出具的带有CNAS或CMA标识的检测报告原件扫描件）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12、自动清洁：定期自动清理撞击屏上的蜘蛛网，可远程实现一键远程辅助清虫，减少人工维护频率；</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14、产品的L/N到接地的金属外壳之间能经受1500V(交流有效值)，其电源频率50Hz,历时lmin的耐压试验，无飞弧击穿现象。</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15、支持查看设备拍摄区作物识别（水稻、小麦）、生育期识别及给出预测下一生育期时间；支持查看设备环境传感器数据；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16、含气象传感器，可监测空气温湿度传感器、雨量等指标，可提供虫情发生量与气象关系的比较分析，提供当前生育期重大虫害捕捉统计及预计暴发时间分析，针对该暴发提供防治要点参考；</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▲17、提供不少于两份省级（含）以上植保部门或农业技术推广部门出具的识别准确度验证报告，且识别准确率不低于85%。</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sz w:val="18"/>
                <w:szCs w:val="18"/>
                <w:lang w:bidi="ar"/>
              </w:rPr>
              <w:t xml:space="preserve">4</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2009"/>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9</w:t>
            </w:r>
            <w:r/>
          </w:p>
        </w:tc>
        <w:tc>
          <w:tcPr>
            <w:shd w:val="clear" w:color="auto" w:fill="auto"/>
            <w:tcW w:w="360" w:type="pct"/>
            <w:vAlign w:val="center"/>
            <w:vMerge w:val="continue"/>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高空智能虫情测报灯</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1、符合GB/T 24689.1-2009植物保护机</w:t>
            </w:r>
            <w:r>
              <w:rPr>
                <w:rFonts w:hint="eastAsia" w:ascii="宋体" w:hAnsi="宋体" w:cs="宋体"/>
                <w:sz w:val="18"/>
                <w:szCs w:val="18"/>
                <w:lang w:bidi="ar"/>
              </w:rPr>
              <w:t xml:space="preserve">械 虫情测报灯标准设计。                                                                                                                                                                                                        2、专用于农业虫害防治，集中诱杀高空低空害虫；有效防治迁飞性害虫迁入危害，防止灾害发生。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3、整体结构采用不锈钢材质，采用防雨设计，雨天正常捕虫，能有效将雨、虫分离，防水等级IP65，为保证昆虫的诱集效率，设有互成120°撞击屏；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4、诱集光源：采用1000W金属卤化物灯光源；</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5、远红外虫体处理: 远红外虫体处理，设备启动15分钟后达到85±5℃，处理时间可调，虫体处理致死率不小于100%，虫体完整率不小于98%，识别并正确计数一类二类农业害虫种类不少于30种，识别准确率≥90%；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6、具有光控模式、时控模式、休眠模式三种工作状态。光控模式下，设备白天自动关灯，夜间自动开灯，工作时间长度可设定； 时控模式下，设备在时段内自动开灯，在时段外自动关灯；休眠模式下，设备关灯，仍然通讯；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7、支持手机App与Web端控制,可远程查看地理位置、远程控制、工作状态、网络运行等情况；</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8、工作环境可在温度 0~40℃，湿度不大于 95%RH 的环境下正常工作；</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9、供电电源: AC220V 供电，频率50Hz，绝缘电阻:&gt;2.5MΩ；</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10、设备具有定位功能，可实现在GIS地图上查看所有安装的设备，可在GIS地图上直接选择进入设备查看状态，实现对设备的统一管理；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11、可通过Web端与APP远程控制，提供手机APP或Web端账户及密码，可指导用户操作使用；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12、一个账户可远程控制多台不同编号的设备，配置方法由服务人员后台设置；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13、可通过手机APP及WEB端远程设置设备的开关、工程调试模式、远程重启，查看设备联网状态、信号、设备经纬度信息、通讯卡有效时间；远程设置光控、时控、休眠模式；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14、设备告警：可提示设备亏电、信号不足、需要维修等状态报警，可显示设备编号及告警时间，通过Web端及APP端提示；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智能虫情测报系统，可以按时间段进行统计虫情数量及趋势分析；支持对虫情的综合分析、预警分析、地图分析；（提供平台功能应用截图并提供具有检测资质的机构出具的带有CNAS或CMA标识的检测报告原件扫描件）</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16、智能虫情测报系统，可以分省，市，县，镇等多级不同权限;管理员可以查看本系统所用用户的操作记录，可看查询指定用户在指定时间内的操作记录。（提供平台功能应用截图并提供具有检测资质的机构出具的带有CNAS或CMA标识的检测报告原件扫描件）</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783"/>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10</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病虫害自动监测</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小虫体智能测报灯（稻飞虱）</w:t>
            </w:r>
            <w:r/>
          </w:p>
        </w:tc>
        <w:tc>
          <w:tcPr>
            <w:shd w:val="clear" w:color="auto" w:fill="auto"/>
            <w:tcW w:w="3439" w:type="pct"/>
            <w:vAlign w:val="center"/>
            <w:textDirection w:val="lrTb"/>
            <w:noWrap w:val="false"/>
          </w:tcPr>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专用于诱杀和测报稻飞虱，百叶过滤非靶标大虫子，避免出现由于体积较大的虫子掩盖稻飞虱，导致摄像头无法采集到造成测报不准的问题。采用光、电、数控技术，远程自动控制。有防雨百叶，下雨天可以正常工作，正常捕虫；</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▲2、诱捕与拍照技术集成于</w:t>
            </w:r>
            <w:r>
              <w:rPr>
                <w:rFonts w:hint="eastAsia" w:ascii="宋体" w:hAnsi="宋体" w:eastAsia="宋体" w:cs="宋体"/>
                <w:color w:val="auto"/>
                <w:sz w:val="18"/>
                <w:szCs w:val="18"/>
              </w:rPr>
              <w:t xml:space="preserve">一体的虫情测报系统，通过定制波段光源诱捕靶标害虫，内置不低于2000W高清工业摄像机，对小虫体进行活体拍照，针对飞虱类、叶蝉类等小虫体害虫进行自动识别计数，通过A1 智能识别包含白背飞虱、褐飞虱属、灰飞虱、花超飞虱属、丽中带飞虱、黑边梅塔飞虱、锥飞虱亚科、长绿飞虱、黑尾叶蝉、粒脉蜡蝉科、电光叶蝉、小绿叶蝉、楝白小叶蝉、凹缘菱纹叶蝉、大青叶蝉、十紫二叉叶蝉、其他叶蝉、黑肩绿盲蝽、其他绿盲蝽、蚁形隐翅虫等20余种微小虫体，识别准确率≥90%。(提供具有CNAS或CMA标识的相关检测机构出具的检测报告原件扫描件。</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3、可远程设置工作模式，通过PC云端及手机APP端能远程自动拍照和手动拍照，工业彩色手触摸屏显示与操作，屏幕尺寸≥7寸，安卓系统智能控制。全中文液晶显示，可分时段设置和控制，自动拍照和手动拍照均可。</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4、设备进虫口采用特殊装置构造，设有大小虫体隔离装置，将大小虫体进行隔离，具有防止外物杂物、雨水侵入，防止内部昆虫逃逸的特点，对飞虱、叶蝉、绿盲蝽等小虫体进行活体拍照，虫体完整率≥95%。</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6、图像处理：包括但不限于画面分割、切换处理及保存等功能。图片保存质量应满足虫体人工手动计数的识别需求。</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7、内置GPS定位功能，可在地图中查看设备站点等数据。在PC云端地图中查看设备站点等数据，设备被盗可追踪。</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9、虫子收集储存技术：对拍完照的虫子，需要保留标本的留在储存袋内，人工定期去收集；对于不需要标本的，虫子直接排出机器外部；</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10、电源：太阳能供电，直流12v；灯管启动时间：开机后小于5秒；绝缘电阻：大于2.5MΩ；</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11、工作环境温度：0～70℃，工作环境湿度：≤95%。</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▲12、虫害爆发分析模型：将捕获到的昆虫进行统计分析，绘制出虫害的发生趋势与发生轨迹，并确定其发生源头，以此为数据基础实现病虫害的预测预警；</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13、具备标准化数据输出接口，支持与国家级、省级、市级、县区级和当地相关信息调度管理平台实现无缝对接。</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14、作物产量评估模型：根据虫害、天气、土壤、作物、农事等数据，实现作物整个生育期内各指标的模拟。</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▲15、具有不少于两个省级（含）以上植保部门或农业技术推广部门出具的应用试验报告，且试验识别准确率高于90%。</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▲16、关注微信公众号，即可接收设备诱虫信息推送:包括灯下成虫首现信息和每日诱虫数据。根据账号权限，省市县数据三级贯通，按权限隔离。</w:t>
            </w:r>
            <w:r/>
          </w:p>
        </w:tc>
        <w:tc>
          <w:tcPr>
            <w:shd w:val="clear" w:color="auto" w:fill="auto"/>
            <w:tcW w:w="229" w:type="pct"/>
            <w:vAlign w:val="center"/>
            <w:textDirection w:val="lrTb"/>
            <w:noWrap/>
          </w:tcPr>
          <w:p>
            <w:pPr>
              <w:jc w:val="center"/>
              <w:spacing w:line="220" w:lineRule="exact"/>
              <w:widowControl/>
              <w:rPr>
                <w:rFonts w:ascii="宋体" w:hAnsi="宋体" w:cs="宋体"/>
                <w:color w:val="ff0000"/>
                <w:sz w:val="18"/>
                <w:szCs w:val="18"/>
                <w:lang w:bidi="ar"/>
              </w:rPr>
            </w:pPr>
            <w:r>
              <w:rPr>
                <w:rFonts w:hint="eastAsia" w:ascii="宋体" w:hAnsi="宋体" w:cs="宋体"/>
                <w:sz w:val="18"/>
                <w:szCs w:val="18"/>
                <w:lang w:bidi="ar"/>
              </w:rPr>
              <w:t xml:space="preserve">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r>
      <w:tr>
        <w:trPr>
          <w:trHeight w:val="3414"/>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11</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病虫害自动监测</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稻纵卷叶螟智能赶蛾统计杆</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 全域覆盖机构：扫杆支持正/逆时针360°双向旋转，最大展开长度4米，有效作业面积50㎡；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 智能升降系统：垂直调节行程≥1米，适配各品种水稻株高范围（须提供具有CNAS标识相关检测机构出具的有效检测报告原件扫描件）；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 安全复位机制：作业完成后自动归位至预设安全位置；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 高清成像组件：配置400万像素CMOS传感器摄像头；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 自适应光学控制：支持远程调节焦距；</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 双模调节功能：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   - 自动模式：具备通过图像识别水稻高度后，自动调整每日赶蛾高度；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   - 手动模式：支持后台远程设置1-360°作业角度。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 环境适应策略：可联动调整作业时间（日出时间30min）、延迟启动（雨停后30min）；</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▲8. 目标识别引擎：识别算法可有效剔除杂虫干扰，稻纵卷叶螟识别准确率≥90%（须提供具有CNAS标识相关检测机构出具的有效检测报告原件扫描件）；</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4704"/>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12</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可移动调查设备</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头戴式可移动田间智能监测调查设备（农业病虫害AR智能测报仪）</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1、操作系统：Android系统（AOSP），双麦克风，带降噪算法；</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2、内存/芯片： 32GB，≥8核芯片，通用无线网络：支持wifi2.4GHz、wifi5GHz、蓝牙5.0。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3、显示器:≤ 0.23寸单目屏幕，像素密度≥3281ppi，峰值亮度≥3000nits，室外阳光下清晰可见；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4、摄像头：长焦≥8M 5X (120mm，支持AF、OIS)+广角≥ 50M (28mm，支持AF)，传感器：6轴陀螺仪+环境光传感器,PDAF高速相位对焦。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5、触控：支持3点触控场景，触控区≤20*50mm；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6、电池：≥990mAh/3.81Wh，聚合物电芯，4.45V，充电：5V2A，2PIN，续航时间2-3h，可边充电边工作，总重量≤100g；</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7、一体机形态，无需外接数据线，无论性别、头围大小、瞳距不同皆可佩戴使用。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8、防水性：IP54防尘防水，佩戴轻便。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▲9、实现对稻飞虱15个指标进行有效识别，平均识别准确率≥95%（投标人须提供具有CNAS标识相关检测机构出具的有效检测报告原件扫描件）；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10、支持小麦赤霉病的分级定量识别；</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11、支持蚜虫的定量计数识别；</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▲12、实现自动识别烟粉虱的幼虫、成虫并自动统计计数（投标人须提供具有CNAS标识相关检测机构出具的有效检测报告原件扫描件）；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13、支持可个性化配置，根据区域植保站主要病虫害配置调查场景以及配套的识别模型服务，支持第三方识别服务的接入；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14、具有手机APP端和PC端双操作平台，可查看、编辑数据:手机端通过采集时间、采集对象进行数据筛选和查看;PC端均可通过采集时间、采集对象、采集用户、采集地点进行数据筛选、搜索和查看。</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15、支持PC端导出病虫害调查数据列表。</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r>
      <w:tr>
        <w:trPr>
          <w:trHeight w:val="5361"/>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13</w:t>
            </w:r>
            <w:r/>
          </w:p>
        </w:tc>
        <w:tc>
          <w:tcPr>
            <w:shd w:val="clear" w:color="auto" w:fill="auto"/>
            <w:tcW w:w="360" w:type="pct"/>
            <w:vAlign w:val="center"/>
            <w:textDirection w:val="lrTb"/>
            <w:noWrap/>
          </w:tcPr>
          <w:p>
            <w:pPr>
              <w:jc w:val="left"/>
              <w:spacing w:line="220" w:lineRule="exact"/>
              <w:widowControl/>
              <w:tabs>
                <w:tab w:val="left" w:pos="481" w:leader="none"/>
              </w:tabs>
              <w:rPr>
                <w:rFonts w:ascii="宋体" w:hAnsi="宋体" w:cs="宋体"/>
                <w:sz w:val="18"/>
                <w:szCs w:val="18"/>
                <w:lang w:bidi="ar"/>
              </w:rPr>
            </w:pPr>
            <w:r>
              <w:rPr>
                <w:rFonts w:hint="eastAsia" w:ascii="宋体" w:hAnsi="宋体" w:cs="宋体"/>
                <w:sz w:val="18"/>
                <w:szCs w:val="18"/>
                <w:lang w:bidi="ar"/>
              </w:rPr>
              <w:t xml:space="preserve">病害自动监测</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赤霉病、稻瘟病自动监测站</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▲1、作物病害自动监测预警模型</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系统包括子囊壳形成与温湿度关系模型、侵染概率模型、菌量模型、潜育速率模型、显症率模型、重复侵染概率模型、病穗率模型、发病程度模型等子模型，构成小麦-玉米轮作和小麦-水稻轮作的赤霉病、稻瘟病监测预警模型。（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2、作物病害自动监测预警系统软件部分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 数据采集云存储：实时采集田间数据，每2小时上传一次，储存至少3年历史数据，用折线图、数据列表等不同形式展示；（提供国家权威机构出具的检测报告原件扫描件）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2.2 预测结果与国家标准对应，在小麦赤霉病、稻瘟病防治关键期前15天开始预报发病情况，超过防治指标自动报警，可在电脑PC端、手机微信小程序查看；（提供国家权威机构出具的检测报告原件扫描件）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2.3 开放式系统平台，自动接入国家平台，可接入其他省、市、县区级平台。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3、作物病害自动监测预警系统硬件部分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 主机规格：高1.8 m ，重量80kg；电池容量：12 V 20 A（采用高原专用电池6-CNJ-20，输出功率受环境温度影响较小）；太阳能板：40W；功耗：10 mA；工作时间：在连续阴雨天环境中可持续工作30天；工作温度范围：-20℃~80℃；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3.2 整机为SUS 304不锈钢材质，耐酸碱，耐腐蚀，防护等级IP67，抗冲击等级IK08；</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3.3 温度及降雨量采集传感器采用光电感应技术；风速风向传感器采用超声波采集技术；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3.4 仪器具有远程调试、无人值守、无缝监控等功能。                                                                                                                                                                                                               4、预测准确率可达95%。</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746"/>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14</w:t>
            </w:r>
            <w:r/>
          </w:p>
        </w:tc>
        <w:tc>
          <w:tcPr>
            <w:shd w:val="clear" w:color="auto" w:fill="auto"/>
            <w:tcW w:w="360" w:type="pct"/>
            <w:vAlign w:val="center"/>
            <w:textDirection w:val="lrTb"/>
            <w:noWrap/>
          </w:tcPr>
          <w:p>
            <w:pPr>
              <w:jc w:val="left"/>
              <w:spacing w:line="220" w:lineRule="exact"/>
              <w:widowControl/>
              <w:tabs>
                <w:tab w:val="left" w:pos="481" w:leader="none"/>
              </w:tabs>
              <w:rPr>
                <w:rFonts w:ascii="宋体" w:hAnsi="宋体" w:cs="宋体"/>
                <w:sz w:val="18"/>
                <w:szCs w:val="18"/>
                <w:lang w:bidi="ar"/>
              </w:rPr>
            </w:pPr>
            <w:r>
              <w:rPr>
                <w:rFonts w:hint="eastAsia" w:ascii="宋体" w:hAnsi="宋体" w:cs="宋体"/>
                <w:sz w:val="18"/>
                <w:szCs w:val="18"/>
                <w:lang w:bidi="ar"/>
              </w:rPr>
              <w:t xml:space="preserve">病害自动监测</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离心式单逆流孢子捕捉仪</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 离心式单逆流孢子捕捉仪功能特点</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 具有自动采集空气中的病菌孢子、污染物、粉尘、花粉等，为病害监测预警提供可靠 数据的功能；（提供国家权威机构出具的检测报告原件扫描件加盖制造商公章）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 对空气传播性病原菌孢子，实验室进行PCR定量检测分析，系统平台查看作物生长关键期病原菌孢子数量；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 可持续无间断采样、不会过载，不会损失，不会改变采样效率；（提供国家权威机构出具的检测报告原件扫描件加盖制造商公章）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 可在连续阴雨天中持续工作30天以上；</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 具有远程调试、无人值守、无缝监控等功能；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 采集控制器：4G云智能多路遥控开关，远程遥控孢子捕捉仪开关机；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 离心式单逆流孢子捕捉仪参数：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 支撑板：厚度5 mm的304不锈钢；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2.2 支撑架：镀锌；</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2.3防护罩：1mm 厚 1060#铝板；</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2.4双头螺栓：304不锈钢；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2.5 底盘：ZL102表面喷塑；</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2.6 通气管连接支架：PVC；</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2.7 取样管为2ml亚克力，每7天更换一次；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2.8 风标、风机罩、挡板：厚度≥5 mm的航空铝板，阳极化处理；（提供国家权威机构出具的检测报告原件扫描件加盖制造商公章）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2.9 真空泵由7000转/分的电机驱动，驱动的风盘动平衡数值≤0.03g；（提供国家权威机构出具的检测报告原件扫描件加盖制造商公章）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2.10 真空泵带动单逆流微型旋风分离器，分离器连接采样器；（提供国家权威机构出具的检测报告原件扫描件加盖制造商公章）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2.11 具有蓄电池温度补偿功能；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 电源转换供电系统参数：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3.1光伏阵列极性反接保护、蓄电池极性反接保护、蓄电池超压保护、蓄电池过放保护、蓄电池超温保护、负载过载保护、负载短路保护、温度传感器损坏保护、控制器超温保护；</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3.2 LED指示灯显示；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3.3额定充电电流：10A；</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3.4空载损耗：＜30Ma/12V；</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3.5充放电回路压降：＜0.5V；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3.6 输出电压：DC12V，输出最大功率：120W；</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3.7 电芯型号：18650/3.7V；</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3.8 电池外壳：铝外壳；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3.9 工作环境温度：-35℃～85℃；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3.10 工作环境温度内(-25℃～55℃)能以额定充电电流满载连续运行；</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3.11 箱体采用1.2mm厚镀锌板，外表高温喷塑；</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3.12 锂电保护：短路保护，过充保护，过放保护，过流保护。</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套</w:t>
            </w:r>
            <w:r/>
          </w:p>
        </w:tc>
      </w:tr>
      <w:tr>
        <w:trPr>
          <w:trHeight w:val="6100"/>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15</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病虫害自动分析</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病虫害防治分析系统</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将县域内所有农业物联网设备采集的数据通过网络传输到系统内，并进行数据标准化验证和统一管理，提高调查资料的准确性和可比性，减少人为和其它因素</w:t>
            </w:r>
            <w:r>
              <w:rPr>
                <w:rFonts w:hint="eastAsia" w:ascii="宋体" w:hAnsi="宋体" w:cs="宋体"/>
                <w:sz w:val="18"/>
                <w:szCs w:val="18"/>
              </w:rPr>
              <w:t xml:space="preserve">造成的数据误差，提高测报准确率。建立田间智能物联网设备管理库，管理设备的运行状态。此外还有病虫害监测数据查询、统计及图形分析、地区病虫害档案和病虫图谱、预报情报报送等功能。功能清单包括：主页、数据查询（按设备查询、按指标查询、多指标专题等）、数据分析（数据展示屏、多年同比分析、多指标叠加分析、多区域分析、单点分析等）、物联网管理（监测点管理、物联网数据同步日志、设备数据、物联网图片展示等）、知识库（植保知识库、多媒体库等）、信息发布管理（发布用户管理、发布信息管理、发布记录管理等）、系统管理（用户管理等）；</w:t>
            </w:r>
            <w:r/>
          </w:p>
          <w:p>
            <w:pPr>
              <w:jc w:val="left"/>
              <w:spacing w:line="220" w:lineRule="exact"/>
              <w:widowControl/>
              <w:rPr>
                <w:rFonts w:ascii="宋体" w:hAnsi="宋体" w:cs="宋体"/>
                <w:sz w:val="18"/>
                <w:szCs w:val="18"/>
              </w:rPr>
            </w:pPr>
            <w:r>
              <w:rPr>
                <w:rFonts w:hint="eastAsia" w:ascii="宋体" w:hAnsi="宋体" w:cs="宋体"/>
                <w:sz w:val="18"/>
                <w:szCs w:val="18"/>
              </w:rPr>
              <w:t xml:space="preserve">具体要求如下：</w:t>
            </w:r>
            <w:r/>
          </w:p>
          <w:p>
            <w:pPr>
              <w:jc w:val="left"/>
              <w:spacing w:line="220" w:lineRule="exact"/>
              <w:widowControl/>
              <w:rPr>
                <w:rFonts w:ascii="宋体" w:hAnsi="宋体" w:cs="宋体"/>
                <w:sz w:val="18"/>
                <w:szCs w:val="18"/>
              </w:rPr>
            </w:pPr>
            <w:r>
              <w:rPr>
                <w:rFonts w:hint="eastAsia" w:ascii="宋体" w:hAnsi="宋体" w:cs="宋体"/>
                <w:sz w:val="18"/>
                <w:szCs w:val="18"/>
              </w:rPr>
              <w:t xml:space="preserve">1、按设备查询：根据各种物联网设备的数据种类、采集间隔、监测对象特点，针对不同物联网设备分别设置不同的查询、汇总条件和数据查询结果、展现方法，查询方法必须根据每种设备进行逐个查询，页面打开即可自动查询近期数据而无需手工选择查询条件；</w:t>
            </w:r>
            <w:r/>
          </w:p>
          <w:p>
            <w:pPr>
              <w:jc w:val="left"/>
              <w:spacing w:line="220" w:lineRule="exact"/>
              <w:widowControl/>
              <w:rPr>
                <w:rFonts w:ascii="宋体" w:hAnsi="宋体" w:cs="宋体"/>
                <w:sz w:val="18"/>
                <w:szCs w:val="18"/>
              </w:rPr>
            </w:pPr>
            <w:r>
              <w:rPr>
                <w:rFonts w:hint="eastAsia" w:ascii="宋体" w:hAnsi="宋体" w:cs="宋体"/>
                <w:sz w:val="18"/>
                <w:szCs w:val="18"/>
              </w:rPr>
              <w:t xml:space="preserve">2、按指标查询：按照虫害、病害、气象等各类指标来查询数据，查询时系统会自动将可采集该指标的设备筛选出来，查询结果可根据指标的数据特点进行有效呈现；</w:t>
            </w:r>
            <w:r/>
          </w:p>
          <w:p>
            <w:pPr>
              <w:jc w:val="left"/>
              <w:spacing w:line="220" w:lineRule="exact"/>
              <w:widowControl/>
              <w:rPr>
                <w:rFonts w:ascii="宋体" w:hAnsi="宋体" w:cs="宋体"/>
                <w:sz w:val="18"/>
                <w:szCs w:val="18"/>
              </w:rPr>
            </w:pPr>
            <w:r>
              <w:rPr>
                <w:rFonts w:hint="eastAsia" w:ascii="宋体" w:hAnsi="宋体" w:cs="宋体"/>
                <w:sz w:val="18"/>
                <w:szCs w:val="18"/>
              </w:rPr>
              <w:t xml:space="preserve">▲3、多指标专题：后台管理员分别对虫害、病害、墒情、灾情专题配置关联指标，使用者无需过多操作即可实现核心指标与因子指标的叠加关系分析；（提供平台功能应用截图）</w:t>
            </w:r>
            <w:r/>
          </w:p>
          <w:p>
            <w:pPr>
              <w:jc w:val="left"/>
              <w:spacing w:line="220" w:lineRule="exact"/>
              <w:widowControl/>
              <w:rPr>
                <w:rFonts w:ascii="宋体" w:hAnsi="宋体" w:cs="宋体"/>
                <w:sz w:val="18"/>
                <w:szCs w:val="18"/>
              </w:rPr>
            </w:pPr>
            <w:r>
              <w:rPr>
                <w:rFonts w:hint="eastAsia" w:ascii="宋体" w:hAnsi="宋体" w:cs="宋体"/>
                <w:sz w:val="18"/>
                <w:szCs w:val="18"/>
              </w:rPr>
              <w:t xml:space="preserve">▲4、多指标叠加分析：使用者可将任何物联网监测指标进行叠加分析，叠加时可自动根据指标属性设定统计周期，帮助使用者进行综合业务分析；（提供平台功能应用截图）</w:t>
            </w:r>
            <w:r/>
          </w:p>
          <w:p>
            <w:pPr>
              <w:jc w:val="left"/>
              <w:spacing w:line="220" w:lineRule="exact"/>
              <w:widowControl/>
              <w:rPr>
                <w:rFonts w:ascii="宋体" w:hAnsi="宋体" w:cs="宋体"/>
                <w:sz w:val="18"/>
                <w:szCs w:val="18"/>
              </w:rPr>
            </w:pPr>
            <w:r>
              <w:rPr>
                <w:rFonts w:hint="eastAsia" w:ascii="宋体" w:hAnsi="宋体" w:cs="宋体"/>
                <w:sz w:val="18"/>
                <w:szCs w:val="18"/>
              </w:rPr>
              <w:t xml:space="preserve">5、发布信息管理：使用者可根据内置模板对发布信息进行编辑管理，并可将编辑好的信息发布给预先设定的订阅号、服务号的管理员微信进行预览；模板确认后，系统将根据模板设定的统计周期定期将信息发布给所有用户。</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r>
      <w:tr>
        <w:trPr>
          <w:trHeight w:val="5650"/>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16</w:t>
            </w:r>
            <w:r/>
          </w:p>
        </w:tc>
        <w:tc>
          <w:tcPr>
            <w:shd w:val="clear" w:color="auto" w:fill="auto"/>
            <w:tcW w:w="360" w:type="pct"/>
            <w:vAlign w:val="center"/>
            <w:vMerge w:val="restart"/>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智能灌溉系统</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智能一体化进、出水闸门及渠道配套改造</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本项1套智能闸门包含：进水闸门、出水闸门各1个及相关配件。</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闸门：铝合金/不锈钢材质，闸口30cm，闸门适用于正反向水压条件，闸门结构坚固、耐磨耐蚀性强。</w:t>
            </w:r>
            <w:r/>
          </w:p>
          <w:p>
            <w:pPr>
              <w:numPr>
                <w:ilvl w:val="0"/>
                <w:numId w:val="6"/>
              </w:numPr>
              <w:jc w:val="left"/>
              <w:spacing w:line="220" w:lineRule="exact"/>
              <w:widowControl/>
              <w:rPr>
                <w:rFonts w:ascii="宋体" w:hAnsi="宋体" w:cs="宋体"/>
                <w:sz w:val="18"/>
                <w:szCs w:val="18"/>
              </w:rPr>
            </w:pPr>
            <w:r>
              <w:rPr>
                <w:rFonts w:hint="eastAsia" w:ascii="宋体" w:hAnsi="宋体" w:cs="宋体"/>
                <w:sz w:val="18"/>
                <w:szCs w:val="18"/>
                <w:lang w:bidi="ar"/>
              </w:rPr>
              <w:t xml:space="preserve">驱动电机：性能驱动电机，DC24V直流电机，频繁启停，宽速度调节范围。</w:t>
            </w:r>
            <w:r/>
          </w:p>
          <w:p>
            <w:pPr>
              <w:numPr>
                <w:ilvl w:val="0"/>
                <w:numId w:val="6"/>
              </w:numPr>
              <w:jc w:val="left"/>
              <w:spacing w:line="220" w:lineRule="exact"/>
              <w:widowControl/>
              <w:rPr>
                <w:rFonts w:ascii="宋体" w:hAnsi="宋体" w:cs="宋体"/>
                <w:sz w:val="18"/>
                <w:szCs w:val="18"/>
              </w:rPr>
            </w:pPr>
            <w:r>
              <w:rPr>
                <w:rFonts w:hint="eastAsia" w:ascii="宋体" w:hAnsi="宋体" w:cs="宋体"/>
                <w:sz w:val="18"/>
                <w:szCs w:val="18"/>
                <w:lang w:bidi="ar"/>
              </w:rPr>
              <w:t xml:space="preserve">支架：30cm闸门支架；电机固定支架；电池固定支架；限位开关固定支架；控制器固定支架。</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控制器与配套电路：无线远程控制器、配套电路，功能:单片机数据采集显示、数据处理、计算、报警、传输等，控制设备包括阀门等</w:t>
            </w:r>
            <w:r>
              <w:rPr>
                <w:rFonts w:hint="eastAsia" w:ascii="宋体" w:hAnsi="宋体" w:cs="宋体"/>
                <w:sz w:val="18"/>
                <w:szCs w:val="18"/>
                <w:lang w:bidi="ar"/>
              </w:rPr>
              <w:br/>
              <w:t xml:space="preserve">用途：传感器数据采集、传感器数据传输，工业级</w:t>
            </w:r>
            <w:r>
              <w:rPr>
                <w:rFonts w:hint="eastAsia" w:ascii="宋体" w:hAnsi="宋体" w:cs="宋体"/>
                <w:sz w:val="18"/>
                <w:szCs w:val="18"/>
                <w:lang w:bidi="ar"/>
              </w:rPr>
              <w:br/>
              <w:t xml:space="preserve">输入电压：DC5~36V</w:t>
            </w:r>
            <w:r>
              <w:rPr>
                <w:rFonts w:hint="eastAsia" w:ascii="宋体" w:hAnsi="宋体" w:cs="宋体"/>
                <w:sz w:val="18"/>
                <w:szCs w:val="18"/>
                <w:lang w:bidi="ar"/>
              </w:rPr>
              <w:br/>
              <w:t xml:space="preserve">RS485 协议处理：支持自定义问询指令下发、支持标准MODBUS协议解析</w:t>
            </w:r>
            <w:r>
              <w:rPr>
                <w:rFonts w:hint="eastAsia" w:ascii="宋体" w:hAnsi="宋体" w:cs="宋体"/>
                <w:sz w:val="18"/>
                <w:szCs w:val="18"/>
                <w:lang w:bidi="ar"/>
              </w:rPr>
              <w:br/>
              <w:t xml:space="preserve">工作电流：35mA/12v 网络缓存：4K  数据接口：RS232/485</w:t>
            </w:r>
            <w:r>
              <w:rPr>
                <w:rFonts w:hint="eastAsia" w:ascii="宋体" w:hAnsi="宋体" w:cs="宋体"/>
                <w:sz w:val="18"/>
                <w:szCs w:val="18"/>
                <w:lang w:bidi="ar"/>
              </w:rPr>
              <w:br/>
              <w:t xml:space="preserve">波特率：2400bps~115200bps  天线接口：SMA射频座</w:t>
            </w:r>
            <w:r>
              <w:rPr>
                <w:rFonts w:hint="eastAsia" w:ascii="宋体" w:hAnsi="宋体" w:cs="宋体"/>
                <w:sz w:val="18"/>
                <w:szCs w:val="18"/>
                <w:lang w:bidi="ar"/>
              </w:rPr>
              <w:br/>
              <w:t xml:space="preserve">复位功能：复位按键，复位初始参数</w:t>
            </w:r>
            <w:r>
              <w:rPr>
                <w:rFonts w:hint="eastAsia" w:ascii="宋体" w:hAnsi="宋体" w:cs="宋体"/>
                <w:sz w:val="18"/>
                <w:szCs w:val="18"/>
                <w:lang w:bidi="ar"/>
              </w:rPr>
              <w:br/>
              <w:t xml:space="preserve">实时远程监控太阳能电池情况，欠电时报警；可实时远程查看闸门开合度(阀门打开的高度)状况，异常报警；三种电机保护功能：两端机械限位、开合度反馈、内置运行保护时间，当触发任何一级保护时电机自动停机。</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限位器：高、低限位器，额定电流10A，触点数1NO+1NC，操作力200N，接线方式插入式。</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太阳能供电：包括电压为36V，优质铝合金为边框材质的单晶硅太阳能电池板、一体支架（控制器,电池置于支架内部），MPPT智能控制器(内置)，24V三元聚合物锂电池组,用于给设备供电的DC线。</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水位传感器：0-3米0.03级超声波液位计，DC12V三线制，密封等级为IP68，检测介质为弱腐蚀性液体，支持485通讯，响应时间≤5mS。闸门配套专用水位传感器支架。</w:t>
            </w:r>
            <w:r/>
          </w:p>
          <w:p>
            <w:pPr>
              <w:numPr>
                <w:ilvl w:val="0"/>
                <w:numId w:val="6"/>
              </w:numPr>
              <w:jc w:val="left"/>
              <w:spacing w:line="220" w:lineRule="exact"/>
              <w:widowControl/>
              <w:rPr>
                <w:sz w:val="18"/>
                <w:szCs w:val="18"/>
              </w:rPr>
            </w:pPr>
            <w:r>
              <w:rPr>
                <w:rFonts w:hint="eastAsia" w:ascii="宋体" w:hAnsi="宋体" w:cs="宋体"/>
                <w:sz w:val="18"/>
                <w:szCs w:val="18"/>
                <w:lang w:bidi="ar"/>
              </w:rPr>
              <w:t xml:space="preserve">施工：含水泥预制、砂石、砖、管；每套40米渠道切割安装配套改造。</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20</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4258"/>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17</w:t>
            </w:r>
            <w:r/>
          </w:p>
        </w:tc>
        <w:tc>
          <w:tcPr>
            <w:shd w:val="clear" w:color="auto" w:fill="auto"/>
            <w:tcW w:w="360" w:type="pct"/>
            <w:vAlign w:val="center"/>
            <w:vMerge w:val="continue"/>
            <w:textDirection w:val="lrTb"/>
            <w:noWrap w:val="false"/>
          </w:tcPr>
          <w:p>
            <w:pPr>
              <w:jc w:val="center"/>
              <w:spacing w:line="220" w:lineRule="exact"/>
              <w:widowControl/>
              <w:rPr>
                <w:rFonts w:ascii="宋体" w:hAnsi="宋体" w:cs="宋体"/>
                <w:sz w:val="18"/>
                <w:szCs w:val="18"/>
              </w:rPr>
            </w:pPr>
            <w:r>
              <w:rPr>
                <w:rFonts w:ascii="宋体" w:hAnsi="宋体" w:cs="宋体"/>
                <w:sz w:val="18"/>
                <w:szCs w:val="18"/>
              </w:rPr>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泵站智能化改造</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加装泵站远程控制终端-多场景AI控制柜：</w:t>
            </w:r>
            <w:r>
              <w:rPr>
                <w:rFonts w:hint="eastAsia" w:ascii="宋体" w:hAnsi="宋体" w:cs="宋体"/>
                <w:sz w:val="18"/>
                <w:szCs w:val="18"/>
                <w:lang w:bidi="ar"/>
              </w:rPr>
              <w:br/>
              <w:t xml:space="preserve">远传通讯方式：4G；</w:t>
            </w:r>
            <w:r>
              <w:rPr>
                <w:rFonts w:hint="eastAsia" w:ascii="宋体" w:hAnsi="宋体" w:cs="宋体"/>
                <w:sz w:val="18"/>
                <w:szCs w:val="18"/>
                <w:lang w:bidi="ar"/>
              </w:rPr>
              <w:br/>
              <w:t xml:space="preserve">控制方式：现场手动控制、远程电脑或移动终端控制；</w:t>
            </w:r>
            <w:r>
              <w:rPr>
                <w:rFonts w:hint="eastAsia" w:ascii="宋体" w:hAnsi="宋体" w:cs="宋体"/>
                <w:sz w:val="18"/>
                <w:szCs w:val="18"/>
                <w:lang w:bidi="ar"/>
              </w:rPr>
              <w:br/>
              <w:t xml:space="preserve">控制回路：联机拓展；</w:t>
            </w:r>
            <w:r>
              <w:rPr>
                <w:rFonts w:hint="eastAsia" w:ascii="宋体" w:hAnsi="宋体" w:cs="宋体"/>
                <w:sz w:val="18"/>
                <w:szCs w:val="18"/>
                <w:lang w:bidi="ar"/>
              </w:rPr>
              <w:br/>
              <w:t xml:space="preserve">控制功能：可与485控制模块配套使用实现远距离控制，也可通过自身继电器与配套配电柜配合使用；</w:t>
            </w:r>
            <w:r>
              <w:rPr>
                <w:rFonts w:hint="eastAsia" w:ascii="宋体" w:hAnsi="宋体" w:cs="宋体"/>
                <w:sz w:val="18"/>
                <w:szCs w:val="18"/>
                <w:lang w:bidi="ar"/>
              </w:rPr>
              <w:br/>
              <w:t xml:space="preserve">防护措施：防反接保护。</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智能灌溉算法：</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1、土壤墒情阈值算法：设定不同生育期土壤湿度阈值，当传感器监测值低于下限，自动触发灌溉；达到上限则停止，适配水稻各阶段需水特性。</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2、作物系数 - 蒸发蒸腾量算法：结合水稻作物系数、气象数据（气温、风速等）计算蒸发蒸腾量，按 “需水量 = 蒸腾量 + 土壤补水” 公式确定灌溉量，实现按需供水。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3、机器学习预测灌溉算法：用历史灌溉数据、生长状态和产量训练模型，预测最佳灌溉时间与水量，减少盲目灌溉。</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4、墒情 - 气象联动算法：综合土壤墒情与未来天气预报（如下雨则减少灌溉），动态调整灌溉计划，避免水资源浪费。</w:t>
            </w:r>
            <w:r/>
          </w:p>
          <w:p>
            <w:pPr>
              <w:jc w:val="left"/>
              <w:spacing w:line="220" w:lineRule="exact"/>
              <w:widowControl/>
              <w:rPr>
                <w:sz w:val="18"/>
                <w:szCs w:val="18"/>
              </w:rPr>
            </w:pPr>
            <w:r>
              <w:rPr>
                <w:rFonts w:hint="eastAsia" w:ascii="宋体" w:hAnsi="宋体" w:cs="宋体"/>
                <w:sz w:val="18"/>
                <w:szCs w:val="18"/>
                <w:lang w:bidi="ar"/>
              </w:rPr>
              <w:t xml:space="preserve">5、分区域差异化灌溉算法：通过传感器划分田间墒情区域，对干旱区优先灌溉、湿润区延迟，提高灌溉针对性。</w:t>
            </w:r>
            <w:r/>
          </w:p>
        </w:tc>
        <w:tc>
          <w:tcPr>
            <w:shd w:val="clear" w:color="auto" w:fill="auto"/>
            <w:tcW w:w="229"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254"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1836"/>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18</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植物冠层分析仪</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植物冠层分析仪</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1、防水等级高：全铝合金，防水等级IP67。</w:t>
            </w:r>
            <w:r>
              <w:rPr>
                <w:rFonts w:hint="eastAsia" w:ascii="宋体" w:hAnsi="宋体" w:cs="宋体"/>
                <w:sz w:val="18"/>
                <w:szCs w:val="18"/>
                <w:lang w:bidi="ar"/>
              </w:rPr>
              <w:br/>
              <w:t xml:space="preserve">2、采用可见/近红外光反射光谱技术和多通道光谱信息扫描技术，可快速测定植被表面参数、植物冠层信息、植物养分信息、土壤养分信息、环境参数、植物病虫害程度等。</w:t>
            </w:r>
            <w:r>
              <w:rPr>
                <w:rFonts w:hint="eastAsia" w:ascii="宋体" w:hAnsi="宋体" w:cs="宋体"/>
                <w:sz w:val="18"/>
                <w:szCs w:val="18"/>
                <w:lang w:bidi="ar"/>
              </w:rPr>
              <w:br/>
              <w:t xml:space="preserve">3、软件分析功能多：可分析植被指数RVI、NDVI、作物叶层含氮量、氮积累量、叶面积指数、叶干重等。</w:t>
            </w:r>
            <w:r>
              <w:rPr>
                <w:rFonts w:hint="eastAsia" w:ascii="宋体" w:hAnsi="宋体" w:cs="宋体"/>
                <w:sz w:val="18"/>
                <w:szCs w:val="18"/>
                <w:lang w:bidi="ar"/>
              </w:rPr>
              <w:br/>
              <w:t xml:space="preserve">主机功能：</w:t>
            </w:r>
            <w:r>
              <w:rPr>
                <w:rFonts w:hint="eastAsia" w:ascii="宋体" w:hAnsi="宋体" w:cs="宋体"/>
                <w:sz w:val="18"/>
                <w:szCs w:val="18"/>
                <w:lang w:bidi="ar"/>
              </w:rPr>
              <w:br/>
              <w:t xml:space="preserve">1.带手机APP和仪器云平台。2.带GPS定位功能。3.带语音播报功能。</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1998"/>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19</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无人机 </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田间调查</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1、一亿像素 4/3 CMOS 哈苏相机，6K/60fps HDR 视频</w:t>
            </w:r>
            <w:r/>
          </w:p>
          <w:p>
            <w:pPr>
              <w:jc w:val="left"/>
              <w:spacing w:line="220" w:lineRule="exact"/>
              <w:widowControl/>
              <w:rPr>
                <w:rFonts w:ascii="宋体" w:hAnsi="宋体" w:cs="宋体"/>
                <w:sz w:val="18"/>
                <w:szCs w:val="18"/>
              </w:rPr>
            </w:pPr>
            <w:r>
              <w:rPr>
                <w:rFonts w:hint="eastAsia" w:ascii="宋体" w:hAnsi="宋体" w:cs="宋体"/>
                <w:sz w:val="18"/>
                <w:szCs w:val="18"/>
              </w:rPr>
              <w:t xml:space="preserve">2、1/1.3 英寸与 1/1.5 英寸大底双长焦相机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3、360°旋转万象云台，运镜灵动自由</w:t>
            </w:r>
            <w:r/>
          </w:p>
          <w:p>
            <w:pPr>
              <w:jc w:val="left"/>
              <w:spacing w:line="220" w:lineRule="exact"/>
              <w:widowControl/>
              <w:rPr>
                <w:rFonts w:ascii="宋体" w:hAnsi="宋体" w:cs="宋体"/>
                <w:sz w:val="18"/>
                <w:szCs w:val="18"/>
              </w:rPr>
            </w:pPr>
            <w:r>
              <w:rPr>
                <w:rFonts w:hint="eastAsia" w:ascii="宋体" w:hAnsi="宋体" w:cs="宋体"/>
                <w:sz w:val="18"/>
                <w:szCs w:val="18"/>
              </w:rPr>
              <w:t xml:space="preserve">4、0.1 Lux 夜景级全向主动避障</w:t>
            </w:r>
            <w:r/>
          </w:p>
          <w:p>
            <w:pPr>
              <w:jc w:val="left"/>
              <w:spacing w:line="220" w:lineRule="exact"/>
              <w:widowControl/>
              <w:rPr>
                <w:rFonts w:ascii="宋体" w:hAnsi="宋体" w:cs="宋体"/>
                <w:sz w:val="18"/>
                <w:szCs w:val="18"/>
              </w:rPr>
            </w:pPr>
            <w:r>
              <w:rPr>
                <w:rFonts w:hint="eastAsia" w:ascii="宋体" w:hAnsi="宋体" w:cs="宋体"/>
                <w:sz w:val="18"/>
                <w:szCs w:val="18"/>
              </w:rPr>
              <w:t xml:space="preserve">5、51 分钟飞行时间</w:t>
            </w:r>
            <w:r/>
          </w:p>
          <w:p>
            <w:pPr>
              <w:jc w:val="left"/>
              <w:spacing w:line="220" w:lineRule="exact"/>
              <w:widowControl/>
              <w:rPr>
                <w:rFonts w:ascii="宋体" w:hAnsi="宋体" w:cs="宋体"/>
                <w:sz w:val="18"/>
                <w:szCs w:val="18"/>
              </w:rPr>
            </w:pPr>
            <w:r>
              <w:rPr>
                <w:rFonts w:hint="eastAsia" w:ascii="宋体" w:hAnsi="宋体" w:cs="宋体"/>
                <w:sz w:val="18"/>
                <w:szCs w:val="18"/>
              </w:rPr>
              <w:t xml:space="preserve">6、30 公里 10-bit HDR 图传</w:t>
            </w:r>
            <w:r/>
          </w:p>
          <w:p>
            <w:pPr>
              <w:pStyle w:val="737"/>
              <w:numPr>
                <w:ilvl w:val="0"/>
                <w:numId w:val="7"/>
              </w:numPr>
              <w:ind w:firstLine="0"/>
              <w:spacing w:line="220" w:lineRule="exact"/>
              <w:widowControl/>
              <w:rPr>
                <w:rFonts w:eastAsia="宋体" w:cs="宋体"/>
                <w:sz w:val="18"/>
                <w:szCs w:val="18"/>
              </w:rPr>
            </w:pPr>
            <w:r>
              <w:rPr>
                <w:rFonts w:hint="eastAsia" w:eastAsia="宋体" w:cs="宋体"/>
                <w:sz w:val="18"/>
                <w:szCs w:val="18"/>
              </w:rPr>
              <w:t xml:space="preserve">配备遥控器，额外含2块电池、充电管家、增强图传等配件。</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8、无人机设备包含3年保险。</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r>
      <w:tr>
        <w:trPr>
          <w:trHeight w:val="3106"/>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20</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农产品快检设备</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食品安全检测仪（含试剂）及操作台</w:t>
            </w:r>
            <w:r/>
          </w:p>
        </w:tc>
        <w:tc>
          <w:tcPr>
            <w:shd w:val="clear" w:color="auto" w:fill="auto"/>
            <w:tcW w:w="3439" w:type="pct"/>
            <w:vAlign w:val="center"/>
            <w:textDirection w:val="lrTb"/>
            <w:noWrap w:val="false"/>
          </w:tcPr>
          <w:p>
            <w:pPr>
              <w:numPr>
                <w:ilvl w:val="0"/>
                <w:numId w:val="8"/>
              </w:numPr>
              <w:jc w:val="left"/>
              <w:spacing w:line="220" w:lineRule="exact"/>
              <w:widowControl/>
              <w:rPr>
                <w:rFonts w:ascii="宋体" w:hAnsi="宋体" w:cs="宋体"/>
                <w:sz w:val="18"/>
                <w:szCs w:val="18"/>
              </w:rPr>
            </w:pPr>
            <w:r>
              <w:rPr>
                <w:rFonts w:hint="eastAsia" w:ascii="宋体" w:hAnsi="宋体" w:cs="宋体"/>
                <w:sz w:val="18"/>
                <w:szCs w:val="18"/>
              </w:rPr>
              <w:t xml:space="preserve">设备参数：波长配置：410nm；抑制率显示范围：0%～100%；抑制率测量范围：0%～100%；透射比准确度：±1.5%；透射比重复性：≤0.5%；漂移：≤0.005Abs/3min；抑制率示值误差：≤10%；抑制率重复性：≤5%</w:t>
            </w:r>
            <w:r>
              <w:rPr>
                <w:rFonts w:hint="eastAsia" w:ascii="宋体" w:hAnsi="宋体" w:cs="宋体"/>
                <w:sz w:val="18"/>
                <w:szCs w:val="18"/>
              </w:rPr>
              <w:br/>
              <w:t xml:space="preserve">2、安卓智能操作系统，仪器具有无线联网上传功能，进行数据统计和分析。</w:t>
            </w:r>
            <w:r>
              <w:rPr>
                <w:rFonts w:hint="eastAsia" w:ascii="宋体" w:hAnsi="宋体" w:cs="宋体"/>
                <w:sz w:val="18"/>
                <w:szCs w:val="18"/>
              </w:rPr>
              <w:br/>
              <w:t xml:space="preserve">3、仪器具有自检功能：具有开机自检和调零功能，具有自动检测重复性功能；同时，检测完成可自动打印检测报告和二维码。手机扫码可显示出详细检测信息。</w:t>
            </w:r>
            <w:r>
              <w:rPr>
                <w:rFonts w:hint="eastAsia" w:ascii="宋体" w:hAnsi="宋体" w:cs="宋体"/>
                <w:sz w:val="18"/>
                <w:szCs w:val="18"/>
              </w:rPr>
              <w:br/>
              <w:t xml:space="preserve">4、仪器带有监管平台，数据可局域网和互联网数据上传，检测结果直接传至食品安全监管平台。进行区域食品安全监管及大数据分析处理与数据统计，检测区域食品安全长短期动态，达到食品安全问题预估、预警。</w:t>
            </w:r>
            <w:r/>
          </w:p>
          <w:p>
            <w:pPr>
              <w:jc w:val="left"/>
              <w:spacing w:line="220" w:lineRule="exact"/>
              <w:widowControl/>
              <w:rPr>
                <w:rFonts w:ascii="宋体" w:hAnsi="宋体" w:cs="宋体"/>
                <w:sz w:val="18"/>
                <w:szCs w:val="18"/>
              </w:rPr>
            </w:pPr>
            <w:r>
              <w:rPr>
                <w:rFonts w:hint="eastAsia" w:ascii="宋体" w:hAnsi="宋体" w:cs="宋体"/>
                <w:sz w:val="18"/>
                <w:szCs w:val="18"/>
              </w:rPr>
              <w:t xml:space="preserve">5、检测卡：黄曲霉素胶体金检测卡100个、呕吐物质胶体金检测卡100个、有机磷类其他农药残留胶体金检测卡300个。</w:t>
            </w:r>
            <w:r/>
          </w:p>
          <w:p>
            <w:pPr>
              <w:jc w:val="left"/>
              <w:spacing w:line="220" w:lineRule="exact"/>
              <w:widowControl/>
              <w:rPr>
                <w:sz w:val="18"/>
                <w:szCs w:val="18"/>
              </w:rPr>
            </w:pPr>
            <w:r>
              <w:rPr>
                <w:rFonts w:hint="eastAsia" w:ascii="宋体" w:hAnsi="宋体" w:cs="宋体"/>
                <w:sz w:val="18"/>
                <w:szCs w:val="18"/>
                <w:lang w:bidi="ar"/>
              </w:rPr>
              <w:t xml:space="preserve">6、1-2米实验操作台，带实验室水龙头，水电配备到位；试剂柜。</w:t>
            </w:r>
            <w:r/>
          </w:p>
        </w:tc>
        <w:tc>
          <w:tcPr>
            <w:shd w:val="clear" w:color="auto" w:fill="auto"/>
            <w:tcW w:w="229"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1514"/>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21</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设备基础平台</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基础</w:t>
            </w:r>
            <w:r/>
          </w:p>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平台</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新建设备操作平台≥15m²（按设备现场具体情况确定），尺寸：3m*5m，平台为塑木地基，塑木板材2.3厚。</w:t>
            </w:r>
            <w:r>
              <w:rPr>
                <w:rFonts w:hint="eastAsia" w:ascii="宋体" w:hAnsi="宋体" w:cs="宋体"/>
                <w:sz w:val="18"/>
                <w:szCs w:val="18"/>
                <w:lang w:bidi="ar"/>
              </w:rPr>
              <w:br/>
              <w:t xml:space="preserve">新建围栏16m，围栏采用公园塑木架式，高出平台1.2m。</w:t>
            </w:r>
            <w:r>
              <w:rPr>
                <w:rFonts w:hint="eastAsia" w:ascii="宋体" w:hAnsi="宋体" w:cs="宋体"/>
                <w:sz w:val="18"/>
                <w:szCs w:val="18"/>
                <w:lang w:bidi="ar"/>
              </w:rPr>
              <w:br/>
              <w:t xml:space="preserve">围栏上开设1套1米宽人行门，材质及样式同围栏。</w:t>
            </w:r>
            <w:r/>
          </w:p>
          <w:p>
            <w:pPr>
              <w:spacing w:line="220" w:lineRule="exact"/>
              <w:widowControl/>
              <w:rPr>
                <w:sz w:val="18"/>
                <w:szCs w:val="18"/>
              </w:rPr>
            </w:pPr>
            <w:r>
              <w:rPr>
                <w:rFonts w:hint="eastAsia" w:ascii="宋体" w:hAnsi="宋体" w:cs="宋体"/>
                <w:sz w:val="18"/>
                <w:szCs w:val="18"/>
                <w:lang w:bidi="ar"/>
              </w:rPr>
              <w:t xml:space="preserve">人行栈道新建1.5米长（结合现场设备部署确定）塑木栈道，方便人员进出，塑木板材2.3厚；尺寸：1.5m*1m。</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5</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1042"/>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22</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系统对接及单点登入</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系统</w:t>
            </w:r>
            <w:r/>
          </w:p>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对接及单点登入</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1、支持其他系统纳入统一身份认证，实现单点登录。</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2、所有监测数据要能够上传苏农云及采购人指定的相关系统，</w:t>
            </w:r>
            <w:r>
              <w:rPr>
                <w:rFonts w:hint="eastAsia" w:ascii="宋体" w:hAnsi="宋体" w:cs="宋体"/>
                <w:b/>
                <w:bCs/>
                <w:sz w:val="18"/>
                <w:szCs w:val="18"/>
                <w:lang w:bidi="ar"/>
              </w:rPr>
              <w:t xml:space="preserve">提供承诺函并加盖投标人公章。</w:t>
            </w:r>
            <w:r/>
          </w:p>
        </w:tc>
        <w:tc>
          <w:tcPr>
            <w:shd w:val="clear" w:color="auto" w:fill="auto"/>
            <w:tcW w:w="229" w:type="pct"/>
            <w:vAlign w:val="center"/>
            <w:textDirection w:val="lrTb"/>
            <w:noWrap/>
          </w:tcPr>
          <w:p>
            <w:pPr>
              <w:ind w:firstLine="90"/>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r>
      <w:tr>
        <w:trPr>
          <w:trHeight w:val="1113"/>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23</w:t>
            </w:r>
            <w:r/>
          </w:p>
        </w:tc>
        <w:tc>
          <w:tcPr>
            <w:shd w:val="clear" w:color="auto" w:fill="auto"/>
            <w:tcW w:w="36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植保无人机</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植保无人机（含播撒）</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最大起飞重量（最大喷洒起飞重量：126 kg，标配2喷头+ 70L作业箱）；最大轴距：2440 mm；可设置最大飞行半径：2km；最大可承受风速：三级风（&lt;6 m/s)；电机 KV 值：6565 (r/min)/V；作业载荷：70 KG；作业箱容积：70 L；播撒作业箱容积：100 L；最大排料量：400 kg/min（复合肥）；播撒作业箱内部最大载重：70kg；测距范围：60m。</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792"/>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24</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辅助驾驶装置</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辅助驾驶装置</w:t>
            </w:r>
            <w:r/>
          </w:p>
        </w:tc>
        <w:tc>
          <w:tcPr>
            <w:shd w:val="clear" w:color="auto" w:fill="auto"/>
            <w:tcW w:w="3439" w:type="pct"/>
            <w:vAlign w:val="center"/>
            <w:textDirection w:val="lrTb"/>
            <w:noWrap w:val="false"/>
          </w:tcPr>
          <w:p>
            <w:pPr>
              <w:spacing w:line="220" w:lineRule="exact"/>
              <w:widowControl/>
              <w:rPr>
                <w:rFonts w:ascii="宋体" w:hAnsi="宋体" w:cs="宋体"/>
                <w:sz w:val="18"/>
                <w:szCs w:val="18"/>
              </w:rPr>
            </w:pPr>
            <w:r>
              <w:rPr>
                <w:rFonts w:hint="eastAsia" w:ascii="宋体" w:hAnsi="宋体" w:cs="宋体"/>
                <w:sz w:val="18"/>
                <w:szCs w:val="18"/>
              </w:rPr>
              <w:t xml:space="preserve">农机自动驾驶系统以北斗定位系统为核心技术支撑，可实现高精度定位与自动化作业控制，显著提升农机作业效率与精度，降低人工操作强度。</w:t>
            </w:r>
            <w:r/>
          </w:p>
        </w:tc>
        <w:tc>
          <w:tcPr>
            <w:shd w:val="clear" w:color="auto" w:fill="auto"/>
            <w:tcW w:w="229" w:type="pct"/>
            <w:vAlign w:val="center"/>
            <w:textDirection w:val="lrTb"/>
            <w:noWrap/>
          </w:tcPr>
          <w:p>
            <w:pPr>
              <w:jc w:val="center"/>
              <w:spacing w:line="220" w:lineRule="exact"/>
              <w:widowControl/>
              <w:rPr>
                <w:rFonts w:ascii="宋体" w:hAnsi="宋体" w:cs="宋体"/>
                <w:color w:val="ff0000"/>
                <w:sz w:val="18"/>
                <w:szCs w:val="18"/>
              </w:rPr>
            </w:pPr>
            <w:r>
              <w:rPr>
                <w:rFonts w:hint="eastAsia" w:ascii="宋体" w:hAnsi="宋体" w:cs="宋体"/>
                <w:sz w:val="18"/>
                <w:szCs w:val="18"/>
              </w:rPr>
              <w:t xml:space="preserve">3</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r>
        <w:trPr>
          <w:trHeight w:val="563"/>
        </w:trPr>
        <w:tc>
          <w:tcPr>
            <w:shd w:val="clear" w:color="auto" w:fill="auto"/>
            <w:tcW w:w="311"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25</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项目施工</w:t>
            </w:r>
            <w:r/>
          </w:p>
        </w:tc>
        <w:tc>
          <w:tcPr>
            <w:shd w:val="clear" w:color="auto" w:fill="auto"/>
            <w:tcW w:w="404"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项目</w:t>
            </w:r>
            <w:r/>
          </w:p>
          <w:p>
            <w:pPr>
              <w:jc w:val="center"/>
              <w:spacing w:line="220" w:lineRule="exact"/>
              <w:widowControl/>
              <w:rPr>
                <w:rFonts w:ascii="宋体" w:hAnsi="宋体" w:cs="宋体"/>
                <w:sz w:val="18"/>
                <w:szCs w:val="18"/>
              </w:rPr>
            </w:pPr>
            <w:r>
              <w:rPr>
                <w:rFonts w:hint="eastAsia" w:ascii="宋体" w:hAnsi="宋体" w:cs="宋体"/>
                <w:sz w:val="18"/>
                <w:szCs w:val="18"/>
              </w:rPr>
              <w:t xml:space="preserve">施工</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1.示范种植区设备安装普通工费；</w:t>
            </w:r>
            <w:r/>
          </w:p>
          <w:p>
            <w:pPr>
              <w:jc w:val="left"/>
              <w:spacing w:line="220" w:lineRule="exact"/>
              <w:widowControl/>
              <w:rPr>
                <w:rFonts w:ascii="宋体" w:hAnsi="宋体" w:cs="宋体"/>
                <w:sz w:val="18"/>
                <w:szCs w:val="18"/>
              </w:rPr>
            </w:pPr>
            <w:r>
              <w:rPr>
                <w:rFonts w:hint="eastAsia" w:ascii="宋体" w:hAnsi="宋体" w:cs="宋体"/>
                <w:sz w:val="18"/>
                <w:szCs w:val="18"/>
              </w:rPr>
              <w:t xml:space="preserve">2.项目弱电施工，包括综合布线、监控系统、弱电系统集成等。</w:t>
            </w:r>
            <w:r/>
          </w:p>
        </w:tc>
        <w:tc>
          <w:tcPr>
            <w:shd w:val="clear" w:color="auto" w:fill="auto"/>
            <w:tcW w:w="229"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项</w:t>
            </w:r>
            <w:r/>
          </w:p>
        </w:tc>
      </w:tr>
      <w:tr>
        <w:trPr>
          <w:trHeight w:val="814"/>
        </w:trPr>
        <w:tc>
          <w:tcPr>
            <w:shd w:val="clear" w:color="auto" w:fill="auto"/>
            <w:tcW w:w="311"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26</w:t>
            </w:r>
            <w:r/>
          </w:p>
        </w:tc>
        <w:tc>
          <w:tcPr>
            <w:shd w:val="clear" w:color="auto" w:fill="auto"/>
            <w:tcW w:w="36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害虫性诱智能测报仪（核心产品）</w:t>
            </w:r>
            <w:r/>
          </w:p>
        </w:tc>
        <w:tc>
          <w:tcPr>
            <w:shd w:val="clear" w:color="auto" w:fill="auto"/>
            <w:tcW w:w="404"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害虫性诱智能测报仪</w:t>
            </w:r>
            <w:r/>
          </w:p>
        </w:tc>
        <w:tc>
          <w:tcPr>
            <w:shd w:val="clear" w:color="auto" w:fill="auto"/>
            <w:tcW w:w="3439"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▲1、设备符合《GB/T24689.1-2009植物保护机械 虫情测报灯》国家标准。（提供具有相关检测资质的国家权威机构出具的检测报告原件扫描件）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▲2、设备运行功率≤1W，待机功率≤0.5W。（提供具有相关检测资质的国家权威机构出具的检测报告原件扫描件）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3、设备应能识别包括但不限于稻纵卷叶螟、玉米螟、二化螟、大螟、斜纹夜蛾、甜菜夜蛾、草地贪夜蛾、粘虫、棉铃虫等主要害虫。设备实时监测数据可对接到电脑端数据分析平台。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4、害虫诱捕装置：诱捕器为PC材质，结构为反向三漏斗飞蛾类诱捕器。增加反向三漏斗蛾子防逃逸结构，整体横切面为梨形，纵切面似椅子形设计，增加害虫诱捕量。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电脑端数据分析平台具有，设备统计预览、设备分布、害虫预警设置、害虫监测、害虫趋势分析、多年同比分析等功能；能按害虫类别，地理区域筛选统计累计总数、平均数的趋势图。（提供软件平台应用截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5.1、数据查询与分析：可查看、分析和统计各时间段的诱虫量；支持按地区、害虫类别筛选、统计累计总数、平均数趋势图及占比图；基于地理信息的害虫发生预警地图，实时展示各地区害虫发生程度，支持颜色分级标识；支持手动导出下载EXCEL数据表格和PNG格式趋势图。（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▲5.2、多维数据对比：支持不同诱捕器、不同区域、自定义分组及历史同期数据的对比分析。（提供具有相关检测资质的国家权威机构出具的检测报告原件扫描件）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5.3、卵、幼虫各龄期的短期预测：在全省、全市或自定义区域，依据未来15天气象数据的平均值和昆虫发育之间的关系，建立数学模型，预测下一代卵、幼虫各龄期的发生动态，并生成趋势图。（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5.4、田间成虫量的预测：基于该设备诱捕的雄成虫数量数据以及性比，基于数学算法模型，自动推算、预测田间实际的成虫总数量及相应的雌成虫数量。（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▲5.5、灯诱数据换算：基于数学算法模型，提供性诱数据与传统测报灯的灯下诱虫量换算功能。（提供具有相关检测资质的国家权威机构出具的检测报告原件扫描件）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5.6、成虫发生量的中、长期预测：基于3年以上历史虫情数据、温度数据和当前虫量数据进行大数据分析，构建数学算法模型，预测未来2个月成虫发生趋势。预测模型具备自我学习功能，能够随着数据量的增大自主训练更新。（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▲5.7、自动生产植保虫情分析报告：支持客户自定义病虫情报模版，可生成并导出性诱虫情分析报告。（提供具有相关检测资质的国家权威机构出具的检测报告原件扫描件）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6、APP可查看时间段、每月、单日、每小时诱虫量数据。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▲7、设备可通过手机APP查看实时数据、历史数据。（以下手机APP功能均需提供软件平台截图）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7.1、APP支持Harmony鸿蒙、iOS苹果和Android安卓系统。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7.2、APP支持卵、幼虫各龄期的短期预测：依据未来15天气象数据的平均值和昆虫发育之间的关系，建立数学模型，预测下一代卵和幼虫各龄期的发生动态，并指导释放天敌和施药。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7.3、支持田间成虫量的预测：基于该设备诱捕的雄成虫数量数据以及性比，自动推算、预测田间实际的成虫总数量及相应的雌成虫数量。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7.4、具有灯诱数据换算：基于数学算法模型，提供性诱与传统测报灯（灯下诱虫量）的换算功能。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8、设备可查看预测未来2个月次代诱虫量，及发生动态，包括卵期、一二低龄龄幼虫期。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9、设备具有定位及导航、诱芯到期提醒等功能。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10、双计数系统：上下集虫器各带一个三层4对红外计数装置，自动计数进入集虫器的昆虫，计算总数后上传到服务器数据库。</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11、自动计数功能：害虫经过红外感应器时，自动计数+1，间隔时间＜1S。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▲12、设备自动计数准确度不低于95%。（提供省级（含）以上农林业部门出具的应用证明或试验报告佐证）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13、终端储存发送功能：实时记录和存储诱捕器监测数据，储存时间≥12月。定时定向发送监测数据，同时具有自检、纠错功能。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14、网关数据接收功能：1小时/次接收终端数据，并通过无线网络发送到服务器。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15、网关和终端配置：一个网关可以配置多个终端。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设备采用太阳能板供电，单晶硅材质；功率：≥55W，可在-40°C-80°C气温下工作。蓄电池为锂电池，规格：12V,≥60Ah。连续阴雨天，设备正常运行不低于20天。设备立杆材质为喷塑铝管，整体高度不低于300CM，配防电机箱，材质 304不锈钢材质，外标防电标识，具防尘、防水功能。</w:t>
            </w:r>
            <w:r/>
          </w:p>
        </w:tc>
        <w:tc>
          <w:tcPr>
            <w:shd w:val="clear" w:color="auto" w:fill="auto"/>
            <w:tcW w:w="229"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12</w:t>
            </w:r>
            <w:r/>
          </w:p>
        </w:tc>
        <w:tc>
          <w:tcPr>
            <w:shd w:val="clear" w:color="auto" w:fill="auto"/>
            <w:tcW w:w="254"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r>
    </w:tbl>
    <w:p>
      <w:pPr>
        <w:rPr>
          <w:color w:val="000000" w:themeColor="text1"/>
        </w:rPr>
      </w:pPr>
      <w:r>
        <w:rPr>
          <w:color w:val="000000" w:themeColor="text1"/>
        </w:rPr>
      </w:r>
      <w:r/>
    </w:p>
    <w:p>
      <w:pPr>
        <w:jc w:val="center"/>
        <w:spacing w:line="500" w:lineRule="exact"/>
        <w:rPr>
          <w:rFonts w:ascii="宋体" w:hAnsi="宋体" w:cs="宋体"/>
          <w:b/>
          <w:sz w:val="28"/>
          <w:szCs w:val="28"/>
        </w:rPr>
        <w:sectPr>
          <w:footerReference w:type="default" r:id="rId9"/>
          <w:footnotePr/>
          <w:endnotePr/>
          <w:type w:val="nextPage"/>
          <w:pgSz w:w="11906" w:h="16838" w:orient="portrait"/>
          <w:pgMar w:top="1440" w:right="1559" w:bottom="1440" w:left="1701" w:header="851" w:footer="992" w:gutter="0"/>
          <w:cols w:num="1" w:sep="0" w:space="0" w:equalWidth="1"/>
          <w:docGrid w:linePitch="360"/>
        </w:sectPr>
      </w:pPr>
      <w:r>
        <w:rPr>
          <w:rFonts w:ascii="宋体" w:hAnsi="宋体" w:cs="宋体"/>
          <w:b/>
          <w:sz w:val="28"/>
          <w:szCs w:val="28"/>
        </w:rPr>
      </w:r>
      <w:bookmarkEnd w:id="318"/>
      <w:bookmarkEnd w:id="319"/>
      <w:r/>
    </w:p>
    <w:p>
      <w:pPr>
        <w:jc w:val="center"/>
        <w:rPr>
          <w:rFonts w:ascii="黑体" w:hAnsi="黑体" w:eastAsia="黑体"/>
          <w:b/>
        </w:rPr>
      </w:pPr>
      <w:r>
        <w:rPr>
          <w:rFonts w:ascii="黑体" w:hAnsi="黑体" w:eastAsia="黑体"/>
          <w:sz w:val="44"/>
          <w:szCs w:val="44"/>
        </w:rPr>
        <w:t xml:space="preserve">第</w:t>
      </w:r>
      <w:r>
        <w:rPr>
          <w:rFonts w:hint="eastAsia" w:ascii="黑体" w:hAnsi="黑体" w:eastAsia="黑体"/>
          <w:sz w:val="44"/>
          <w:szCs w:val="44"/>
        </w:rPr>
        <w:t xml:space="preserve">五</w:t>
      </w:r>
      <w:r>
        <w:rPr>
          <w:rFonts w:ascii="黑体" w:hAnsi="黑体" w:eastAsia="黑体"/>
          <w:sz w:val="44"/>
          <w:szCs w:val="44"/>
        </w:rPr>
        <w:t xml:space="preserve">章</w:t>
      </w:r>
      <w:r>
        <w:rPr>
          <w:rFonts w:hint="eastAsia" w:ascii="黑体" w:hAnsi="黑体" w:eastAsia="黑体"/>
          <w:b/>
          <w:sz w:val="44"/>
          <w:szCs w:val="44"/>
        </w:rPr>
        <w:t xml:space="preserve">投标文件的编制要求及参考格式</w:t>
      </w:r>
      <w:bookmarkStart w:id="323" w:name="_Hlt26671244"/>
      <w:r/>
      <w:bookmarkStart w:id="324" w:name="_Hlt26955039"/>
      <w:r/>
      <w:bookmarkStart w:id="325" w:name="_Toc26554094"/>
      <w:r/>
      <w:bookmarkStart w:id="326" w:name="_Toc49090576"/>
      <w:r/>
      <w:bookmarkStart w:id="327" w:name="_Toc282446331"/>
      <w:r/>
      <w:bookmarkStart w:id="328" w:name="_Toc288030359"/>
      <w:r/>
      <w:bookmarkStart w:id="329" w:name="_Toc120614282"/>
      <w:r/>
      <w:bookmarkEnd w:id="323"/>
      <w:r/>
      <w:bookmarkEnd w:id="324"/>
      <w:r/>
      <w:r/>
    </w:p>
    <w:p>
      <w:pPr>
        <w:spacing w:line="500" w:lineRule="exact"/>
        <w:rPr>
          <w:rFonts w:ascii="黑体" w:hAnsi="黑体" w:eastAsia="黑体"/>
          <w:sz w:val="32"/>
          <w:szCs w:val="32"/>
        </w:rPr>
      </w:pPr>
      <w:r/>
      <w:bookmarkStart w:id="330"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330"/>
      <w:r/>
      <w:r/>
    </w:p>
    <w:p>
      <w:pPr>
        <w:ind w:firstLine="560"/>
        <w:spacing w:line="500" w:lineRule="exact"/>
        <w:rPr>
          <w:rFonts w:ascii="宋体"/>
          <w:sz w:val="28"/>
          <w:szCs w:val="28"/>
        </w:rPr>
      </w:pPr>
      <w:r/>
      <w:bookmarkStart w:id="331"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331"/>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332" w:name="OLE_LINK8"/>
      <w:r>
        <w:rPr>
          <w:rFonts w:hint="eastAsia" w:ascii="宋体" w:hAnsi="宋体" w:cs="宋体"/>
          <w:sz w:val="28"/>
          <w:szCs w:val="28"/>
        </w:rPr>
        <w:t xml:space="preserve">投标报价明细表</w:t>
      </w:r>
      <w:bookmarkEnd w:id="332"/>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hAnsi="宋体" w:cs="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2.3投标报价明细表及分析说明</w:t>
      </w:r>
      <w:r/>
    </w:p>
    <w:p>
      <w:pPr>
        <w:ind w:firstLine="560"/>
        <w:spacing w:line="500" w:lineRule="exact"/>
        <w:rPr>
          <w:rFonts w:ascii="宋体" w:hAnsi="宋体"/>
          <w:sz w:val="28"/>
          <w:szCs w:val="28"/>
        </w:rPr>
      </w:pPr>
      <w:r>
        <w:rPr>
          <w:rFonts w:hint="eastAsia" w:ascii="宋体" w:hAnsi="宋体"/>
          <w:sz w:val="28"/>
          <w:szCs w:val="28"/>
        </w:rPr>
        <w:t xml:space="preserve">2.3.1投标人必须按表中规定格式完整、清晰、正确填写，表格中各项可进一步细分，栏数不够可自行添加。</w:t>
      </w:r>
      <w:r/>
    </w:p>
    <w:p>
      <w:pPr>
        <w:ind w:firstLine="560"/>
        <w:spacing w:line="500" w:lineRule="exact"/>
        <w:rPr>
          <w:rFonts w:ascii="宋体" w:hAnsi="宋体"/>
          <w:sz w:val="28"/>
          <w:szCs w:val="28"/>
        </w:rPr>
      </w:pPr>
      <w:r>
        <w:rPr>
          <w:rFonts w:hint="eastAsia" w:ascii="宋体" w:hAnsi="宋体"/>
          <w:sz w:val="28"/>
          <w:szCs w:val="28"/>
        </w:rPr>
        <w:t xml:space="preserve">2.3.2投标报价构成表及分析说明见附件。</w:t>
      </w:r>
      <w:r/>
    </w:p>
    <w:p>
      <w:pPr>
        <w:spacing w:line="500" w:lineRule="exact"/>
        <w:rPr>
          <w:rFonts w:ascii="楷体" w:hAnsi="楷体" w:eastAsia="楷体"/>
          <w:b/>
          <w:sz w:val="28"/>
          <w:szCs w:val="28"/>
        </w:rPr>
      </w:pPr>
      <w:r>
        <w:rPr>
          <w:rFonts w:hint="eastAsia" w:ascii="楷体" w:hAnsi="楷体" w:eastAsia="楷体"/>
          <w:b/>
          <w:sz w:val="28"/>
          <w:szCs w:val="28"/>
        </w:rPr>
        <w:t xml:space="preserve">2.4资格条件证明文件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）投标人基本资格条件承诺函；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投标人应仔细阅读招标文件第四章采购需求，结合自身的实际情况，如实编制，格式附后。</w:t>
      </w:r>
      <w:r>
        <w:rPr>
          <w:rFonts w:hint="eastAsia" w:ascii="宋体" w:hAnsi="宋体"/>
          <w:b/>
          <w:sz w:val="28"/>
          <w:szCs w:val="28"/>
        </w:rPr>
        <w:t xml:space="preserve">采购需求响应表须详细说明实际提供的货物、服务及其他采购需求中相关要求的响应情况。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6</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333"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Start w:id="334" w:name="_Toc426469936"/>
      <w:r/>
      <w:bookmarkStart w:id="335" w:name="_Toc426469937"/>
      <w:r/>
      <w:bookmarkStart w:id="336" w:name="_Toc383679822"/>
      <w:r/>
      <w:bookmarkStart w:id="337" w:name="_Toc383587529"/>
      <w:r/>
      <w:bookmarkStart w:id="338" w:name="_Toc383626069"/>
      <w:r/>
      <w:bookmarkStart w:id="339" w:name="_Toc382811607"/>
      <w:r/>
      <w:bookmarkStart w:id="340" w:name="_Toc390246998"/>
      <w:r/>
      <w:bookmarkStart w:id="341" w:name="_Toc382812507"/>
      <w:r/>
      <w:bookmarkStart w:id="342" w:name="_Toc382811202"/>
      <w:r/>
      <w:bookmarkStart w:id="343" w:name="_Toc390099111"/>
      <w:r/>
      <w:bookmarkStart w:id="344" w:name="_Toc382814038"/>
      <w:r/>
      <w:bookmarkStart w:id="345" w:name="_Toc383623749"/>
      <w:r/>
      <w:bookmarkStart w:id="346" w:name="_Toc390098915"/>
      <w:r/>
      <w:bookmarkStart w:id="347" w:name="_Toc382813957"/>
      <w:r/>
      <w:bookmarkStart w:id="348" w:name="_Toc382812316"/>
      <w:r/>
      <w:bookmarkStart w:id="349" w:name="_Toc383698722"/>
      <w:r/>
      <w:bookmarkStart w:id="350" w:name="_Toc383624021"/>
      <w:r/>
      <w:bookmarkEnd w:id="325"/>
      <w:r/>
      <w:bookmarkEnd w:id="326"/>
      <w:r/>
      <w:bookmarkEnd w:id="327"/>
      <w:r/>
      <w:bookmarkEnd w:id="328"/>
      <w:r/>
      <w:bookmarkEnd w:id="329"/>
      <w:r/>
      <w:bookmarkEnd w:id="333"/>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334"/>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bookmarkStart w:id="351" w:name="OLE_LINK73"/>
      <w:r/>
      <w:bookmarkStart w:id="352" w:name="OLE_LINK72"/>
      <w:r>
        <w:rPr>
          <w:rFonts w:hint="eastAsia" w:ascii="宋体"/>
          <w:b/>
          <w:sz w:val="48"/>
          <w:szCs w:val="48"/>
        </w:rPr>
        <w:t xml:space="preserve">投标文件</w:t>
      </w:r>
      <w:r/>
    </w:p>
    <w:p>
      <w:pPr>
        <w:pStyle w:val="721"/>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hint="eastAsia" w:ascii="宋体"/>
          <w:sz w:val="28"/>
          <w:szCs w:val="28"/>
          <w:u w:val="single"/>
        </w:rPr>
        <w:t xml:space="preserve">（盖法人章）</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bookmarkEnd w:id="351"/>
      <w:r/>
      <w:bookmarkEnd w:id="352"/>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hint="eastAsia" w:ascii="楷体" w:hAnsi="楷体" w:eastAsia="楷体" w:cs="宋体"/>
          <w:b/>
          <w:sz w:val="28"/>
          <w:szCs w:val="28"/>
        </w:rPr>
        <w:t xml:space="preserve">开标一览表</w:t>
      </w:r>
      <w:bookmarkEnd w:id="335"/>
      <w:r/>
      <w:r/>
    </w:p>
    <w:p>
      <w:pPr>
        <w:ind w:firstLine="843"/>
        <w:spacing w:line="400" w:lineRule="exact"/>
        <w:rPr>
          <w:rFonts w:eastAsia="楷体"/>
          <w:b/>
          <w:sz w:val="28"/>
          <w:szCs w:val="28"/>
        </w:rPr>
      </w:pPr>
      <w:r/>
      <w:bookmarkStart w:id="353" w:name="_Toc426469938"/>
      <w:r/>
      <w:r/>
    </w:p>
    <w:p>
      <w:pPr>
        <w:ind w:firstLine="843"/>
        <w:spacing w:line="400" w:lineRule="exact"/>
        <w:rPr>
          <w:rFonts w:eastAsia="楷体"/>
          <w:b/>
          <w:sz w:val="28"/>
          <w:szCs w:val="28"/>
        </w:rPr>
      </w:pPr>
      <w:r>
        <w:rPr>
          <w:rFonts w:eastAsia="楷体"/>
          <w:b/>
          <w:sz w:val="28"/>
          <w:szCs w:val="28"/>
        </w:rPr>
      </w:r>
      <w:r/>
    </w:p>
    <w:p>
      <w:pPr>
        <w:ind w:firstLine="843"/>
        <w:spacing w:line="400" w:lineRule="exact"/>
        <w:rPr>
          <w:rFonts w:eastAsia="楷体"/>
          <w:b/>
          <w:sz w:val="28"/>
          <w:szCs w:val="28"/>
        </w:rPr>
      </w:pPr>
      <w:r>
        <w:rPr>
          <w:rFonts w:hint="eastAsia" w:eastAsia="楷体"/>
          <w:b/>
          <w:sz w:val="28"/>
          <w:szCs w:val="28"/>
        </w:rPr>
        <w:t xml:space="preserve">按“江苏省政府采购管理交易系统（苏采云）”中格式填写。</w:t>
      </w:r>
      <w:r/>
    </w:p>
    <w:p>
      <w:r/>
      <w:r/>
    </w:p>
    <w:p>
      <w:pPr>
        <w:rPr>
          <w:rFonts w:ascii="楷体" w:hAnsi="楷体" w:eastAsia="楷体"/>
          <w:sz w:val="28"/>
          <w:szCs w:val="28"/>
        </w:rPr>
      </w:pPr>
      <w:r>
        <w:br w:type="page" w:clear="all"/>
      </w:r>
      <w:r>
        <w:rPr>
          <w:rFonts w:hint="eastAsia" w:ascii="楷体" w:hAnsi="楷体" w:eastAsia="楷体" w:cs="宋体"/>
          <w:b/>
          <w:sz w:val="32"/>
          <w:szCs w:val="32"/>
        </w:rPr>
        <w:t xml:space="preserve">3.3投标函</w:t>
      </w:r>
      <w:bookmarkEnd w:id="353"/>
      <w:r/>
      <w:r/>
    </w:p>
    <w:p>
      <w:pPr>
        <w:jc w:val="center"/>
        <w:rPr>
          <w:sz w:val="44"/>
          <w:szCs w:val="44"/>
        </w:rPr>
      </w:pPr>
      <w:r/>
      <w:bookmarkStart w:id="354" w:name="_Toc367785041"/>
      <w:r/>
      <w:bookmarkStart w:id="355" w:name="OLE_LINK89"/>
      <w:r/>
      <w:bookmarkStart w:id="356" w:name="OLE_LINK75"/>
      <w:r/>
      <w:bookmarkStart w:id="357" w:name="OLE_LINK74"/>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sz w:val="44"/>
          <w:szCs w:val="44"/>
        </w:rPr>
        <w:t xml:space="preserve">投</w:t>
      </w:r>
      <w:r>
        <w:rPr>
          <w:rFonts w:hint="eastAsia" w:ascii="宋体" w:hAnsi="宋体" w:cs="宋体"/>
          <w:sz w:val="44"/>
          <w:szCs w:val="44"/>
        </w:rPr>
        <w:t xml:space="preserve">标函</w:t>
      </w:r>
      <w:bookmarkEnd w:id="354"/>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招标人名称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hint="eastAsia" w:asciiTheme="minorEastAsia" w:hAnsiTheme="minorEastAsia"/>
          <w:sz w:val="28"/>
          <w:szCs w:val="28"/>
          <w:u w:val="single"/>
        </w:rPr>
        <w:t xml:space="preserve">（项目名称）</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1、如我方中标，我方将按招标文件的规定履行合同责任和义务。</w:t>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2、合同履行期限：</w:t>
      </w:r>
      <w:r>
        <w:rPr>
          <w:rFonts w:hint="eastAsia" w:ascii="宋体" w:hAnsi="宋体" w:cs="宋体"/>
          <w:sz w:val="28"/>
          <w:szCs w:val="28"/>
          <w:u w:val="single"/>
        </w:rPr>
        <w:t xml:space="preserve"> 合同签订后40日历天交付使用。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721"/>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bookmarkEnd w:id="355"/>
      <w:bookmarkEnd w:id="356"/>
      <w:bookmarkEnd w:id="357"/>
      <w:r/>
    </w:p>
    <w:p>
      <w:pPr>
        <w:jc w:val="left"/>
        <w:spacing w:line="500" w:lineRule="exact"/>
        <w:widowControl/>
        <w:rPr>
          <w:rFonts w:asciiTheme="minorEastAsia" w:hAnsiTheme="minorEastAsia"/>
          <w:sz w:val="28"/>
          <w:szCs w:val="28"/>
        </w:rPr>
      </w:pPr>
      <w:r>
        <w:rPr>
          <w:rFonts w:asciiTheme="minorEastAsia" w:hAnsiTheme="minorEastAsia"/>
          <w:sz w:val="28"/>
          <w:szCs w:val="28"/>
        </w:rPr>
        <w:br w:type="page" w:clear="all"/>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3.4投标报价明细表及分析说明</w:t>
      </w:r>
      <w:r/>
    </w:p>
    <w:p>
      <w:pPr>
        <w:jc w:val="center"/>
        <w:rPr>
          <w:rFonts w:ascii="宋体" w:hAnsi="宋体" w:cs="宋体"/>
          <w:bCs/>
          <w:sz w:val="28"/>
          <w:szCs w:val="28"/>
          <w:highlight w:val="yellow"/>
        </w:rPr>
      </w:pPr>
      <w:r>
        <w:rPr>
          <w:rFonts w:ascii="宋体" w:hAnsi="宋体" w:cs="宋体"/>
          <w:bCs/>
          <w:sz w:val="28"/>
          <w:szCs w:val="28"/>
          <w:highlight w:val="yellow"/>
        </w:rPr>
      </w:r>
      <w:r/>
    </w:p>
    <w:p>
      <w:pPr>
        <w:rPr>
          <w:color w:val="000000" w:themeColor="text1"/>
        </w:rPr>
      </w:pPr>
      <w:r/>
      <w:bookmarkStart w:id="358" w:name="OLE_LINK76"/>
      <w:r/>
      <w:bookmarkStart w:id="359" w:name="OLE_LINK77"/>
      <w:r/>
      <w:bookmarkStart w:id="360" w:name="OLE_LINK79"/>
      <w:r/>
      <w:bookmarkStart w:id="361" w:name="OLE_LINK78"/>
      <w:r>
        <w:rPr>
          <w:rFonts w:hint="eastAsia" w:ascii="宋体" w:hAnsi="宋体"/>
          <w:bCs/>
        </w:rPr>
        <w:t xml:space="preserve">                  投标报价明细表                       （单位：元） </w:t>
      </w:r>
      <w:r/>
    </w:p>
    <w:tbl>
      <w:tblPr>
        <w:tblW w:w="545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658"/>
        <w:gridCol w:w="609"/>
        <w:gridCol w:w="6240"/>
        <w:gridCol w:w="459"/>
        <w:gridCol w:w="379"/>
        <w:gridCol w:w="379"/>
        <w:gridCol w:w="383"/>
      </w:tblGrid>
      <w:tr>
        <w:trPr>
          <w:trHeight w:val="742"/>
        </w:trPr>
        <w:tc>
          <w:tcPr>
            <w:shd w:val="clear" w:color="auto" w:fill="e7e6e6"/>
            <w:tcW w:w="293"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序号</w:t>
            </w:r>
            <w:r/>
          </w:p>
        </w:tc>
        <w:tc>
          <w:tcPr>
            <w:shd w:val="clear" w:color="auto" w:fill="e7e6e6"/>
            <w:tcW w:w="340"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项目名称</w:t>
            </w:r>
            <w:r/>
          </w:p>
        </w:tc>
        <w:tc>
          <w:tcPr>
            <w:shd w:val="clear" w:color="auto" w:fill="e7e6e6"/>
            <w:tcW w:w="315"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设备名称</w:t>
            </w:r>
            <w:r/>
          </w:p>
        </w:tc>
        <w:tc>
          <w:tcPr>
            <w:shd w:val="clear" w:color="auto" w:fill="e7e6e6"/>
            <w:tcW w:w="3223"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参数</w:t>
            </w:r>
            <w:r/>
          </w:p>
        </w:tc>
        <w:tc>
          <w:tcPr>
            <w:shd w:val="clear" w:color="auto" w:fill="e7e6e6"/>
            <w:tcW w:w="237"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数量</w:t>
            </w:r>
            <w:r/>
          </w:p>
        </w:tc>
        <w:tc>
          <w:tcPr>
            <w:shd w:val="clear" w:color="auto" w:fill="e7e6e6"/>
            <w:tcW w:w="196" w:type="pct"/>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单位</w:t>
            </w:r>
            <w:r/>
          </w:p>
        </w:tc>
        <w:tc>
          <w:tcPr>
            <w:shd w:val="clear" w:color="auto" w:fill="e7e6e6"/>
            <w:tcW w:w="196" w:type="pct"/>
            <w:vAlign w:val="center"/>
            <w:textDirection w:val="lrTb"/>
            <w:noWrap w:val="false"/>
          </w:tcPr>
          <w:p>
            <w:pPr>
              <w:jc w:val="center"/>
              <w:widowControl/>
              <w:rPr>
                <w:rFonts w:ascii="宋体" w:hAnsi="宋体" w:cs="宋体"/>
                <w:b/>
                <w:bCs/>
                <w:color w:val="000000" w:themeColor="text1"/>
                <w:sz w:val="18"/>
                <w:szCs w:val="18"/>
                <w:lang w:bidi="ar"/>
              </w:rPr>
            </w:pPr>
            <w:r>
              <w:rPr>
                <w:rFonts w:hint="eastAsia" w:ascii="宋体" w:hAnsi="宋体" w:cs="宋体"/>
                <w:b/>
                <w:bCs/>
                <w:color w:val="000000" w:themeColor="text1"/>
                <w:sz w:val="18"/>
                <w:szCs w:val="18"/>
                <w:lang w:bidi="ar"/>
              </w:rPr>
              <w:t xml:space="preserve">单价</w:t>
            </w:r>
            <w:r/>
          </w:p>
        </w:tc>
        <w:tc>
          <w:tcPr>
            <w:shd w:val="clear" w:color="auto" w:fill="e7e6e6"/>
            <w:tcW w:w="196" w:type="pct"/>
            <w:vAlign w:val="center"/>
            <w:textDirection w:val="lrTb"/>
            <w:noWrap w:val="false"/>
          </w:tcPr>
          <w:p>
            <w:pPr>
              <w:jc w:val="center"/>
              <w:widowControl/>
              <w:rPr>
                <w:rFonts w:ascii="宋体" w:hAnsi="宋体" w:cs="宋体"/>
                <w:b/>
                <w:bCs/>
                <w:color w:val="000000" w:themeColor="text1"/>
                <w:sz w:val="18"/>
                <w:szCs w:val="18"/>
                <w:lang w:bidi="ar"/>
              </w:rPr>
            </w:pPr>
            <w:r>
              <w:rPr>
                <w:rFonts w:hint="eastAsia" w:ascii="宋体" w:hAnsi="宋体" w:cs="宋体"/>
                <w:b/>
                <w:bCs/>
                <w:color w:val="000000" w:themeColor="text1"/>
                <w:sz w:val="18"/>
                <w:szCs w:val="18"/>
                <w:lang w:bidi="ar"/>
              </w:rPr>
              <w:t xml:space="preserve">合价</w:t>
            </w:r>
            <w:r/>
          </w:p>
        </w:tc>
      </w:tr>
      <w:tr>
        <w:trPr>
          <w:trHeight w:val="5638"/>
        </w:trPr>
        <w:tc>
          <w:tcPr>
            <w:shd w:val="clear" w:color="auto" w:fill="auto"/>
            <w:tcW w:w="293"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340"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土壤</w:t>
            </w:r>
            <w:r/>
          </w:p>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监测</w:t>
            </w:r>
            <w:r/>
          </w:p>
        </w:tc>
        <w:tc>
          <w:tcPr>
            <w:shd w:val="clear" w:color="auto" w:fill="auto"/>
            <w:tcW w:w="315"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土壤</w:t>
            </w:r>
            <w:r/>
          </w:p>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监测站</w:t>
            </w:r>
            <w:r/>
          </w:p>
        </w:tc>
        <w:tc>
          <w:tcPr>
            <w:shd w:val="clear" w:color="auto" w:fill="auto"/>
            <w:tcW w:w="3223" w:type="pct"/>
            <w:vAlign w:val="center"/>
            <w:textDirection w:val="lrTb"/>
            <w:noWrap w:val="false"/>
          </w:tcPr>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土壤温湿度传感器：通过实时监测土壤温湿度情况，可以帮助种植户及时了解田间土壤墒情状况，合理施肥、灌溉，提高农作物的产量和品质。土壤湿度测量范围：0 - 100 %；土壤温度测量范围：-40 - 80 ºC。</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土壤pH值传感器：实时监测土壤pH情况，助力种植户及时了解田间土壤酸碱度状况，及时介入调控，助力农作物增产提质。量程：0~14PH；</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氮磷钾传感器：实时监测土壤氮磷钾情况，助力种植户及时了解田间土壤肥力状况，合理施肥，助力农作物增产提质。量程：0-1999mg/kg；</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管式多层土壤墒情监测仪：测量各土层温度。默认同时测量10cm（0cm-20cm）、30cm（20cm-40cm）、50cm（40cm-60cm)、80cm（60cm-100cm)土层的温度和湿度，适用于具有代表性土壤的长期不间断监测:</w:t>
            </w:r>
            <w:r>
              <w:rPr>
                <w:rFonts w:hint="eastAsia" w:ascii="宋体" w:hAnsi="宋体" w:cs="宋体"/>
                <w:sz w:val="18"/>
                <w:szCs w:val="18"/>
                <w:lang w:bidi="ar"/>
              </w:rPr>
              <w:br/>
              <w:t xml:space="preserve">4-1、土壤水分(体积含水量)测量范围:干土~水分饱和土，实验室测量精度:±3%，野外测量精度:±5%，湿度分辨率:0.1%；</w:t>
            </w:r>
            <w:r>
              <w:rPr>
                <w:rFonts w:hint="eastAsia" w:ascii="宋体" w:hAnsi="宋体" w:cs="宋体"/>
                <w:sz w:val="18"/>
                <w:szCs w:val="18"/>
                <w:lang w:bidi="ar"/>
              </w:rPr>
              <w:br/>
              <w:t xml:space="preserve">4-2、温度测量范围:-40℃~80℃，测量精度±2℃，温度分辨率:0.1°C；</w:t>
            </w:r>
            <w:r>
              <w:rPr>
                <w:rFonts w:hint="eastAsia" w:ascii="宋体" w:hAnsi="宋体" w:cs="宋体"/>
                <w:sz w:val="18"/>
                <w:szCs w:val="18"/>
                <w:lang w:bidi="ar"/>
              </w:rPr>
              <w:br/>
              <w:t xml:space="preserve">4-3、供电方式:太阳能供电;</w:t>
            </w:r>
            <w:r>
              <w:rPr>
                <w:rFonts w:hint="eastAsia" w:ascii="宋体" w:hAnsi="宋体" w:cs="宋体"/>
                <w:sz w:val="18"/>
                <w:szCs w:val="18"/>
                <w:lang w:bidi="ar"/>
              </w:rPr>
              <w:br/>
              <w:t xml:space="preserve">4-4、通讯方式:RS485通讯，MODBUS通讯协议，(波特率9600可设，地址0-255可设)；</w:t>
            </w:r>
            <w:r>
              <w:rPr>
                <w:rFonts w:hint="eastAsia" w:ascii="宋体" w:hAnsi="宋体" w:cs="宋体"/>
                <w:sz w:val="18"/>
                <w:szCs w:val="18"/>
                <w:lang w:bidi="ar"/>
              </w:rPr>
              <w:br/>
              <w:t xml:space="preserve">4-5、GPRS无线通讯。</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数据采集终端：采集模块，通过无线方式组建的局域网，将数据传输到数据采集网关位置，再由数据采集网关上传到云端，实现数据云监测。</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太阳能供电：传感器供电，太阳能板30W，电池12V9A。</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监测立杆：立杆高度1.5米，热镀锌防腐处理。</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监测柜：防水设计 300mm*250mm*150mm（含内部插座、空开等电器件）。</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混凝土地基：立杆水泥地基，含地笼。</w:t>
            </w:r>
            <w:r/>
          </w:p>
          <w:p>
            <w:pPr>
              <w:numPr>
                <w:ilvl w:val="0"/>
                <w:numId w:val="4"/>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支架等辅材：配套安装需要的电线、套管、支架等辅材材料。</w:t>
            </w:r>
            <w:r/>
          </w:p>
          <w:p>
            <w:pPr>
              <w:jc w:val="left"/>
              <w:spacing w:line="220" w:lineRule="exact"/>
              <w:widowControl/>
              <w:rPr>
                <w:sz w:val="18"/>
                <w:szCs w:val="18"/>
              </w:rPr>
            </w:pPr>
            <w:r>
              <w:rPr>
                <w:rFonts w:hint="eastAsia" w:ascii="宋体" w:hAnsi="宋体" w:cs="宋体"/>
                <w:sz w:val="18"/>
                <w:szCs w:val="18"/>
                <w:lang w:bidi="ar"/>
              </w:rPr>
              <w:t xml:space="preserve">11、通讯模块：物联网专用卡1G/月,3年。</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r>
      <w:tr>
        <w:trPr>
          <w:trHeight w:val="90"/>
        </w:trPr>
        <w:tc>
          <w:tcPr>
            <w:shd w:val="clear" w:color="auto" w:fill="auto"/>
            <w:tcW w:w="293"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w:t>
            </w:r>
            <w:r/>
          </w:p>
        </w:tc>
        <w:tc>
          <w:tcPr>
            <w:shd w:val="clear" w:color="auto" w:fill="auto"/>
            <w:tcW w:w="340"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气象监测</w:t>
            </w:r>
            <w:r/>
          </w:p>
        </w:tc>
        <w:tc>
          <w:tcPr>
            <w:shd w:val="clear" w:color="auto" w:fill="auto"/>
            <w:tcW w:w="315"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农业小环境气象监测站</w:t>
            </w:r>
            <w:r/>
          </w:p>
        </w:tc>
        <w:tc>
          <w:tcPr>
            <w:shd w:val="clear" w:color="auto" w:fill="auto"/>
            <w:tcW w:w="3223"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1、气象七合一传感器：1-1.气象站具备IP67级别防水，12-24V DC。</w:t>
            </w:r>
            <w:r>
              <w:rPr>
                <w:rFonts w:hint="eastAsia" w:ascii="宋体" w:hAnsi="宋体" w:cs="宋体"/>
                <w:color w:val="000000" w:themeColor="text1"/>
                <w:sz w:val="18"/>
                <w:szCs w:val="18"/>
                <w:lang w:bidi="ar"/>
              </w:rPr>
              <w:br/>
              <w:t xml:space="preserve">1-2.风速：测量范围0-75 m/s，分辨率 0.1 m/s，测量精度±0.1 m/s。</w:t>
            </w:r>
            <w:r>
              <w:rPr>
                <w:rFonts w:hint="eastAsia" w:ascii="宋体" w:hAnsi="宋体" w:cs="宋体"/>
                <w:color w:val="000000" w:themeColor="text1"/>
                <w:sz w:val="18"/>
                <w:szCs w:val="18"/>
                <w:lang w:bidi="ar"/>
              </w:rPr>
              <w:br/>
              <w:t xml:space="preserve">1-3.风向：测量范围0°~ 360°，分辨率 0.1°，测量精度±1°。 </w:t>
            </w:r>
            <w:r>
              <w:rPr>
                <w:rFonts w:hint="eastAsia" w:ascii="宋体" w:hAnsi="宋体" w:cs="宋体"/>
                <w:color w:val="000000" w:themeColor="text1"/>
                <w:sz w:val="18"/>
                <w:szCs w:val="18"/>
                <w:lang w:bidi="ar"/>
              </w:rPr>
              <w:br/>
              <w:t xml:space="preserve">1-4.大气压力：测量范围 300-1250 hPa，分辨率0.1 hPa ，测量精度±1hPa 。</w:t>
            </w:r>
            <w:r>
              <w:rPr>
                <w:rFonts w:hint="eastAsia" w:ascii="宋体" w:hAnsi="宋体" w:cs="宋体"/>
                <w:color w:val="000000" w:themeColor="text1"/>
                <w:sz w:val="18"/>
                <w:szCs w:val="18"/>
                <w:lang w:bidi="ar"/>
              </w:rPr>
              <w:br/>
              <w:t xml:space="preserve">1-5.空气温度:温度范围-40°C～85℃，分辨率0.01℃ ，测量精度 ±0.1℃。</w:t>
            </w:r>
            <w:r>
              <w:rPr>
                <w:rFonts w:hint="eastAsia" w:ascii="宋体" w:hAnsi="宋体" w:cs="宋体"/>
                <w:color w:val="000000" w:themeColor="text1"/>
                <w:sz w:val="18"/>
                <w:szCs w:val="18"/>
                <w:lang w:bidi="ar"/>
              </w:rPr>
              <w:br/>
              <w:t xml:space="preserve">1-6.空气湿度:湿度测量范围0-100%RH ，分辨率0.01%RH ，测量精度±1.5%RH。</w:t>
            </w:r>
            <w:r>
              <w:rPr>
                <w:rFonts w:hint="eastAsia" w:ascii="宋体" w:hAnsi="宋体" w:cs="宋体"/>
                <w:color w:val="000000" w:themeColor="text1"/>
                <w:sz w:val="18"/>
                <w:szCs w:val="18"/>
                <w:lang w:bidi="ar"/>
              </w:rPr>
              <w:br/>
              <w:t xml:space="preserve">1-7.光照强度：测量范围0-20W Lux，分辨率1 Lux ，测量精度±2%。</w:t>
            </w:r>
            <w:r>
              <w:rPr>
                <w:rFonts w:hint="eastAsia" w:ascii="宋体" w:hAnsi="宋体" w:cs="宋体"/>
                <w:color w:val="000000" w:themeColor="text1"/>
                <w:sz w:val="18"/>
                <w:szCs w:val="18"/>
                <w:lang w:bidi="ar"/>
              </w:rPr>
              <w:br/>
              <w:t xml:space="preserve">1-8.雨量：测量范围0-9999mm，分辨率0.1mm ，测量精度±0.1mm。</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2、数据采集终端：采集模块，通过无线方式组建的局域网，将数据传输到数据采集网关位置，再由数据采集网关上传到云端，实现数据云监测。</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3、设备监测箱：防水设计300mm*400mm*180mm（含内部插座、空开等电器件）。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4、专用立杆：立杆高度 3 米，热镀锌防腐处理。</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5、太阳能供电：DC24V太阳能板。100A蓄电池，蓄电池盒。</w:t>
            </w:r>
            <w:r/>
          </w:p>
          <w:p>
            <w:pPr>
              <w:jc w:val="left"/>
              <w:spacing w:line="220" w:lineRule="exact"/>
              <w:widowControl/>
              <w:rPr>
                <w:color w:val="000000" w:themeColor="text1"/>
                <w:sz w:val="18"/>
                <w:szCs w:val="18"/>
              </w:rPr>
            </w:pPr>
            <w:r>
              <w:rPr>
                <w:rFonts w:hint="eastAsia" w:ascii="宋体" w:hAnsi="宋体" w:cs="宋体"/>
                <w:color w:val="000000" w:themeColor="text1"/>
                <w:sz w:val="18"/>
                <w:szCs w:val="18"/>
                <w:lang w:bidi="ar"/>
              </w:rPr>
              <w:t xml:space="preserve">6、通讯模块：物联网专用卡1G/月,3年。</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5</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701" w:hRule="exact"/>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现场数据展示屏</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室外大田数据显示屏</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输出信号：RS485(标准ModBus通讯协议)。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显示屏尺寸：1.05米*0.57米。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规格：320*160模组，单块分辨率32*16。</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分辨率：整屏分辨率96*48。</w:t>
            </w:r>
            <w:r/>
          </w:p>
          <w:p>
            <w:pPr>
              <w:jc w:val="left"/>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r>
      <w:tr>
        <w:trPr>
          <w:trHeight w:val="7535"/>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5G智能无人巡田眼</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固定高清鹰眼摄像头</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1600万180°鹰眼_400万40倍_卫星定位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1600万180° 无盲区球型鹰眼，全景采用4个F1.0大光圈全彩镜头拼接而成，可输出180°大场景拼接画面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全景画面可支持关注区域畸变矫正，细节内置40倍变焦镜头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全景智能：Smart事件、人员密度、车辆拥堵；细节智能：全结构化、Smart事件、普通监控（高帧率）；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1、全景摄像机 4个1/1.8＂ 4MP Progressive Scan CMOS，最高分辨率及帧率可达6072x2640@30fps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视场角：水平180°，垂直110°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星光级超低照度，0.0005Lux/F1.0（彩色），0.0001Lux/F1.0（黑白）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2、细节摄像机 1/1.8＂ 4MP Progressive Scan CMOS，最高分辨率及帧率可达2688x1520@30fps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星光级超低照度，0.0005Lux/F1.2（彩色），0.0001Lux/F1.2（黑白），0 Lux with IR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40倍光学变倍，16倍数字变倍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水平360°连续旋转，垂直-15°-90°（自动翻转）</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采用高效红外阵列，低功耗，照射距离最远可达300m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3、系统参数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【全景】支持区域入侵侦测、越界侦测、进入区域、离开区域事件侦测功能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【全景】支持人员密度检测功能，检测覆盖范围半径100米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【全景】支持车辆拥堵检测功能，检测覆盖范围半径150米，推荐：在封闭式道路中可以做拥堵事件检测，推荐在高速、环线、快速路或者主干线</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【细节】支持区域入侵侦测、越界侦测、进入区域、离开区域事件侦测功能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【细节】支持全结构化：支持细节路混合目标检测，对检测区域内的人、非机动车、车进行同时抓拍上传，人脸人体关联输出，并实现对人脸、人体、车辆结构化属性特征信息提取</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支持点击联动功能，通过在客户端点击或者框选全景摄像机画面任意位置，细节跟踪摄像机可自动通过云台调整与变焦，将该区域置于画面中心。</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支持目标自动跟踪功能，通过设置智能事件规则，对设定区域内触发事件的运动目标在设定的跟踪时间内进行持续稳定跟踪。并可在跟踪过程中手动切换跟踪目标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支持手动选择跟踪目标，在设定跟踪时间内进行持续稳定跟踪</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光口（FC）+电口(RJ-45)网络接口设计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支持GB35114A级安全加密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AI-ISP：细节球机采用去噪卷积神经网络将深度结构、学习算法用于图像去噪，最终使画面成像更新清晰，噪点更小图像更干净</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支持北斗卫星定位</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传感器类型：【全景】1/1.8＂ progressive scan CMOS,【细节】1/1.8＂ progressive scan CMOS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最低照度：【全景】0.0005Lux/F1.0（彩色），0.0001Lux/F1.0（黑白）；【细节】星光级超低照度，0.0005Lux/F1.2（彩色），0.0001Lux/F1.2（黑白），0 Lux with IR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宽动态：全景不支持，细节支持120dB超宽动态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光学变倍：40倍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焦距：【全景】2 mm；【细节】6~240 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视场角：水平视场角</w:t>
            </w:r>
            <w:r>
              <w:rPr>
                <w:rFonts w:hint="eastAsia" w:ascii="宋体" w:hAnsi="宋体" w:cs="宋体"/>
                <w:sz w:val="18"/>
                <w:szCs w:val="18"/>
                <w:lang w:bidi="ar"/>
              </w:rPr>
              <w:tab/>
              <w:t xml:space="preserve">56.6-1.8度(广角-望远)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垂直视场角</w:t>
            </w:r>
            <w:r>
              <w:rPr>
                <w:rFonts w:hint="eastAsia" w:ascii="宋体" w:hAnsi="宋体" w:cs="宋体"/>
                <w:sz w:val="18"/>
                <w:szCs w:val="18"/>
                <w:lang w:bidi="ar"/>
              </w:rPr>
              <w:tab/>
              <w:t xml:space="preserve">33.7-1.0度(广角-望远)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对角线视场角</w:t>
            </w:r>
            <w:r>
              <w:rPr>
                <w:rFonts w:hint="eastAsia" w:ascii="宋体" w:hAnsi="宋体" w:cs="宋体"/>
                <w:sz w:val="18"/>
                <w:szCs w:val="18"/>
                <w:lang w:bidi="ar"/>
              </w:rPr>
              <w:tab/>
              <w:t xml:space="preserve">63.4-2.0度(广角-望远)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红外照射距离：300m  防补光过曝：支持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水平范围：360°垂直范围：-15°-90°(自动翻转)</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水平速度：水平键控速度：0.1°-500°/s,速度可设;水平预置点速度：500°/s 垂直速度：垂直键控速度：0.1°-350°/s,速度可设;垂直预置点速度：350°/s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主码流帧率分辨率：全景：50Hz: 25fps (6072x2640,5520×2400, 4096×1800,3840×1680, 2784×1200) 60Hz: 30fps (6072x2640，5520×2400, 4096×1800，3840×1680, 2784×1200)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细节：50Hz:25fps (2688x1520，2560x1440,1920×1080,1280×960,1280x720) 60Hz:30fps （2688x1520，2560x1440,1920x1080,1280x960,1280x720)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视频压缩标准：H.265;H.264;MJPEG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卫星定位：支持北斗卫星定位 陀螺仪：支持 电子罗盘：支持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网络接口：RJ45网口;自适应10M/100M/1000M网络数据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光纤接口：FC接口;内置光纤模块;波长TX1310/RX1550nm;20km传输距离;单模单纤;1000M网络数据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SD卡扩展：内置Micro SD卡插槽，支持Micro SD/Micro SDHC/Micro SDXC卡（最大支持512G）</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报警：7路报警输入，2路报警输出 音频：1路音频输入，1路音频输出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RS485接口：采用半双工模式，支持自适应HIKVISION，PELCO-P和PELCO-D(可添加)协议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供电方式：DC36V；  整机平均功耗75w.最大功耗 90w</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工作温湿度：-40℃-70℃;湿度小于90%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恢复出厂设置：支持 除雾：支持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尺寸：Φ427.6x425.9mm 重量：净重 14.6kg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防护：IP67; 6000V 防雷、防浪涌、防突波，符合GB/T17626.2/3/4/5/6四级标准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▲全景通道最高分辨率不小于6072 x 2640，细节通道最高分辨率不小于2688 × 1520。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▲全景通道内置4个镜头、靶面尺寸不小于1/1.8英寸的CMOS传感器，细节通道内置1个镜头，靶面尺寸不小于1/1.8英寸的CMOS传感器。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▲设备在全景拼接模式下，垂直视场角不小于110°，水平视场角不小于180°。可将4个全景视频图像进行拼接，实现不小于180°拼接画面显示，并抓拍拼接后的图片。</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注：带▲号条款须提供公安部出具的检验报告证明原件扫描件。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附件及辅材：</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专用支架：鹰眼高清摄像机专用支架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硬盘录像机：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存储接口：5个SATA接口，支持满配20TB硬盘；</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视频接口：2×HDMI，1×VGA。</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网络接口：2×RJ45 10/100/1000Mbps自适应以太网口</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报警接口：16路报警输入，4路报警输出。</w:t>
            </w:r>
            <w:r>
              <w:rPr>
                <w:rFonts w:hint="eastAsia" w:ascii="宋体" w:hAnsi="宋体" w:cs="宋体"/>
                <w:sz w:val="18"/>
                <w:szCs w:val="18"/>
                <w:lang w:bidi="ar"/>
              </w:rPr>
              <w:br/>
              <w:t xml:space="preserve">反向供电：1路DC12V 1A</w:t>
            </w:r>
            <w:r>
              <w:rPr>
                <w:rFonts w:hint="eastAsia" w:ascii="宋体" w:hAnsi="宋体" w:cs="宋体"/>
                <w:sz w:val="18"/>
                <w:szCs w:val="18"/>
                <w:lang w:bidi="ar"/>
              </w:rPr>
              <w:br/>
              <w:t xml:space="preserve">串行接口：1路RS-232接口，1路全双工RS-485接口</w:t>
            </w:r>
            <w:r>
              <w:rPr>
                <w:rFonts w:hint="eastAsia" w:ascii="宋体" w:hAnsi="宋体" w:cs="宋体"/>
                <w:sz w:val="18"/>
                <w:szCs w:val="18"/>
                <w:lang w:bidi="ar"/>
              </w:rPr>
              <w:br/>
              <w:t xml:space="preserve">USB接口：2×USB 2.0，1×USB 3.0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硬盘：8T数据硬盘；交换机：5口千兆交换机；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监控柜：防水设计300mm*400mm*180mm（含内部插座、空开等电器件）。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立杆：立杆，高度9米，主杆板厚8mm；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混凝土基础：立杆水泥地基，含地笼等预埋件，C25混凝土。</w:t>
            </w:r>
            <w:r/>
          </w:p>
          <w:p>
            <w:pPr>
              <w:jc w:val="left"/>
              <w:spacing w:line="220" w:lineRule="exact"/>
              <w:widowControl/>
              <w:rPr>
                <w:sz w:val="18"/>
                <w:szCs w:val="18"/>
              </w:rPr>
            </w:pPr>
            <w:r>
              <w:rPr>
                <w:rFonts w:hint="eastAsia" w:ascii="宋体" w:hAnsi="宋体" w:cs="宋体"/>
                <w:sz w:val="18"/>
                <w:szCs w:val="18"/>
                <w:lang w:bidi="ar"/>
              </w:rPr>
              <w:t xml:space="preserve">熔纤盒（含尾纤）；千兆光纤收发器；室外4星光纤。 </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4945"/>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农情、苗情监测站</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智能高速球型摄像机</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400万像素红外网络高清球机， 支持4G（移动、联通，电信）网络传输</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支持1/2.8" 400万23倍光学变焦镜头，采用高效补光阵列，低功耗，红外补光100m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具有300个预置位，设备可按照所设置的预置位完成8条巡航路径，可按照所设置轨迹完成4条模式路径；在控制云镜时，可实现RS485接口优先或RJ45网络接口优先控制功能。设备具有1个SIM卡插槽。支持区域入侵侦测，越界侦测，进入区域侦测和离开区域侦测等智能侦测</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适用于农田、森林，河道、水库、矿区、野外等场景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可对镜头前盖玻璃进行加热，去除玻璃上的冰状和水状附着物。</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支持超低照度，0.005 Lux @F1.6（彩色），0.001 Lux @F1.6（黑白），0 Lux with IR</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配件：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球机专用立杆：高度 5 米，热镀锌防腐处理。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监控柜：防水设计 300mm*400mm*180mm（含内部插座、空开等电器件）。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太阳能板：传感器供电，太阳能板50W。储能电池：100A蓄电池。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存储卡：256G视频存储卡。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视频流量卡：10G/月，3年。</w:t>
            </w:r>
            <w:r/>
          </w:p>
          <w:p>
            <w:pPr>
              <w:jc w:val="left"/>
              <w:spacing w:line="220" w:lineRule="exact"/>
              <w:widowControl/>
              <w:rPr>
                <w:sz w:val="18"/>
                <w:szCs w:val="18"/>
              </w:rPr>
            </w:pPr>
            <w:r>
              <w:rPr>
                <w:rFonts w:hint="eastAsia" w:ascii="宋体" w:hAnsi="宋体" w:cs="宋体"/>
                <w:sz w:val="18"/>
                <w:szCs w:val="18"/>
                <w:lang w:bidi="ar"/>
              </w:rPr>
              <w:t xml:space="preserve">基础设施：水泥地基，含地笼等预埋件，尺寸：80cm*60cm*60cm；C25混凝土。配套管线等辅材。</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color w:val="000000" w:themeColor="text1"/>
                <w:sz w:val="18"/>
                <w:szCs w:val="18"/>
                <w:lang w:bidi="ar"/>
              </w:rPr>
              <w:t xml:space="preserve">22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4945"/>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p>
            <w:pPr>
              <w:pStyle w:val="716"/>
              <w:jc w:val="center"/>
              <w:rPr>
                <w:color w:val="auto"/>
                <w:sz w:val="18"/>
                <w:szCs w:val="18"/>
              </w:rPr>
            </w:pPr>
            <w:r>
              <w:rPr>
                <w:rFonts w:hint="eastAsia"/>
                <w:color w:val="auto"/>
                <w:sz w:val="18"/>
                <w:szCs w:val="18"/>
              </w:rPr>
              <w:t xml:space="preserve">6</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农业遥感无人机（含机巢及数据分析管理系统）</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农业遥感无人机</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集成1个2000万像素可见光相机及4个500万像素的多光谱相机(绿光、红光，红边及近红外)，实现自动巡田，作物生长检测等应用。</w:t>
            </w:r>
            <w:r/>
          </w:p>
          <w:p>
            <w:pPr>
              <w:jc w:val="left"/>
              <w:spacing w:line="220" w:lineRule="exact"/>
              <w:widowControl/>
              <w:rPr>
                <w:rFonts w:ascii="宋体" w:hAnsi="宋体" w:cs="宋体"/>
                <w:sz w:val="18"/>
                <w:szCs w:val="18"/>
              </w:rPr>
            </w:pPr>
            <w:r>
              <w:rPr>
                <w:rFonts w:hint="eastAsia" w:ascii="宋体" w:hAnsi="宋体" w:cs="宋体"/>
                <w:sz w:val="18"/>
                <w:szCs w:val="18"/>
              </w:rPr>
              <w:t xml:space="preserve">1 、飞行器</w:t>
            </w:r>
            <w:r/>
          </w:p>
          <w:p>
            <w:pPr>
              <w:jc w:val="left"/>
              <w:spacing w:line="220" w:lineRule="exact"/>
              <w:widowControl/>
              <w:rPr>
                <w:rFonts w:ascii="宋体" w:hAnsi="宋体" w:cs="宋体"/>
                <w:sz w:val="18"/>
                <w:szCs w:val="18"/>
              </w:rPr>
            </w:pPr>
            <w:r>
              <w:rPr>
                <w:rFonts w:hint="eastAsia" w:ascii="宋体" w:hAnsi="宋体" w:cs="宋体"/>
                <w:sz w:val="18"/>
                <w:szCs w:val="18"/>
              </w:rPr>
              <w:t xml:space="preserve">起飞重量（无配件）：≤1000g；折叠后尺寸（长×宽×高）：≤225×100×130mm；对角线轴距：≥380 mm；最大信号有效距离（无干扰、无遮挡）：≥15km；最长飞行时间：≥40 分钟；最大可抗风速：≥12m/s；</w:t>
            </w:r>
            <w:r/>
          </w:p>
          <w:p>
            <w:pPr>
              <w:jc w:val="left"/>
              <w:spacing w:line="220" w:lineRule="exact"/>
              <w:widowControl/>
              <w:rPr>
                <w:rFonts w:ascii="宋体" w:hAnsi="宋体" w:cs="宋体"/>
                <w:sz w:val="18"/>
                <w:szCs w:val="18"/>
              </w:rPr>
            </w:pPr>
            <w:r>
              <w:rPr>
                <w:rFonts w:hint="eastAsia" w:ascii="宋体" w:hAnsi="宋体" w:cs="宋体"/>
                <w:sz w:val="18"/>
                <w:szCs w:val="18"/>
              </w:rPr>
              <w:t xml:space="preserve">全向感知系统：飞行器的前、后、左、右、上、下均具备视觉或红外避障传感器，能够在探测到障碍物时在App上进行提醒，并自动减速刹车；</w:t>
            </w:r>
            <w:r/>
          </w:p>
          <w:p>
            <w:pPr>
              <w:jc w:val="left"/>
              <w:spacing w:line="220" w:lineRule="exact"/>
              <w:widowControl/>
              <w:rPr>
                <w:rFonts w:ascii="宋体" w:hAnsi="宋体" w:cs="宋体"/>
                <w:sz w:val="18"/>
                <w:szCs w:val="18"/>
              </w:rPr>
            </w:pPr>
            <w:r>
              <w:rPr>
                <w:rFonts w:hint="eastAsia" w:ascii="宋体" w:hAnsi="宋体" w:cs="宋体"/>
                <w:sz w:val="18"/>
                <w:szCs w:val="18"/>
              </w:rPr>
              <w:t xml:space="preserve">GNSS：支持GPS+GLONASS+BEIDOU，支持单北斗模式；</w:t>
            </w:r>
            <w:r/>
          </w:p>
          <w:p>
            <w:pPr>
              <w:jc w:val="left"/>
              <w:spacing w:line="220" w:lineRule="exact"/>
              <w:widowControl/>
              <w:rPr>
                <w:rFonts w:ascii="宋体" w:hAnsi="宋体" w:cs="宋体"/>
                <w:sz w:val="18"/>
                <w:szCs w:val="18"/>
              </w:rPr>
            </w:pPr>
            <w:r>
              <w:rPr>
                <w:rFonts w:hint="eastAsia" w:ascii="宋体" w:hAnsi="宋体" w:cs="宋体"/>
                <w:sz w:val="18"/>
                <w:szCs w:val="18"/>
              </w:rPr>
              <w:t xml:space="preserve">工作环境温度：工作温度范围覆盖-10°C 至 40°C；</w:t>
            </w:r>
            <w:r/>
          </w:p>
          <w:p>
            <w:pPr>
              <w:jc w:val="left"/>
              <w:spacing w:line="220" w:lineRule="exact"/>
              <w:widowControl/>
              <w:rPr>
                <w:rFonts w:ascii="宋体" w:hAnsi="宋体" w:cs="宋体"/>
                <w:sz w:val="18"/>
                <w:szCs w:val="18"/>
              </w:rPr>
            </w:pPr>
            <w:r>
              <w:rPr>
                <w:rFonts w:hint="eastAsia" w:ascii="宋体" w:hAnsi="宋体" w:cs="宋体"/>
                <w:sz w:val="18"/>
                <w:szCs w:val="18"/>
              </w:rPr>
              <w:t xml:space="preserve">GNSS定位悬停精度：垂直≤0.5 m，水平≤0.5 m；</w:t>
            </w:r>
            <w:r/>
          </w:p>
          <w:p>
            <w:pPr>
              <w:jc w:val="left"/>
              <w:spacing w:line="220" w:lineRule="exact"/>
              <w:widowControl/>
              <w:rPr>
                <w:rFonts w:ascii="宋体" w:hAnsi="宋体" w:cs="宋体"/>
                <w:sz w:val="18"/>
                <w:szCs w:val="18"/>
              </w:rPr>
            </w:pPr>
            <w:r>
              <w:rPr>
                <w:rFonts w:hint="eastAsia" w:ascii="宋体" w:hAnsi="宋体" w:cs="宋体"/>
                <w:sz w:val="18"/>
                <w:szCs w:val="18"/>
              </w:rPr>
              <w:t xml:space="preserve">视觉定位悬停精度：垂直≤0.1 m，水平≤0.1 m；</w:t>
            </w:r>
            <w:r/>
          </w:p>
          <w:p>
            <w:pPr>
              <w:jc w:val="left"/>
              <w:spacing w:line="220" w:lineRule="exact"/>
              <w:widowControl/>
              <w:rPr>
                <w:rFonts w:ascii="宋体" w:hAnsi="宋体" w:cs="宋体"/>
                <w:sz w:val="18"/>
                <w:szCs w:val="18"/>
              </w:rPr>
            </w:pPr>
            <w:r>
              <w:rPr>
                <w:rFonts w:hint="eastAsia" w:ascii="宋体" w:hAnsi="宋体" w:cs="宋体"/>
                <w:sz w:val="18"/>
                <w:szCs w:val="18"/>
              </w:rPr>
              <w:t xml:space="preserve">展开时间：从携行状态到起飞状态的展开时间≤30s；</w:t>
            </w:r>
            <w:r/>
          </w:p>
          <w:p>
            <w:pPr>
              <w:jc w:val="left"/>
              <w:spacing w:line="220" w:lineRule="exact"/>
              <w:widowControl/>
              <w:rPr>
                <w:rFonts w:ascii="宋体" w:hAnsi="宋体" w:cs="宋体"/>
                <w:sz w:val="18"/>
                <w:szCs w:val="18"/>
              </w:rPr>
            </w:pPr>
            <w:r>
              <w:rPr>
                <w:rFonts w:hint="eastAsia" w:ascii="宋体" w:hAnsi="宋体" w:cs="宋体"/>
                <w:sz w:val="18"/>
                <w:szCs w:val="18"/>
              </w:rPr>
              <w:t xml:space="preserve">最大上升速度：≥6 m/s；最大下降速度：≥6 m/s ；</w:t>
            </w:r>
            <w:r/>
          </w:p>
          <w:p>
            <w:pPr>
              <w:jc w:val="left"/>
              <w:spacing w:line="220" w:lineRule="exact"/>
              <w:widowControl/>
              <w:rPr>
                <w:rFonts w:ascii="宋体" w:hAnsi="宋体" w:cs="宋体"/>
                <w:sz w:val="18"/>
                <w:szCs w:val="18"/>
              </w:rPr>
            </w:pPr>
            <w:r>
              <w:rPr>
                <w:rFonts w:hint="eastAsia" w:ascii="宋体" w:hAnsi="宋体" w:cs="宋体"/>
                <w:sz w:val="18"/>
                <w:szCs w:val="18"/>
              </w:rPr>
              <w:t xml:space="preserve">最大水平飞行速度：≥15m/s；最大飞行海拔高度：≥6000 米；</w:t>
            </w:r>
            <w:r/>
          </w:p>
          <w:p>
            <w:pPr>
              <w:jc w:val="left"/>
              <w:spacing w:line="220" w:lineRule="exact"/>
              <w:widowControl/>
              <w:rPr>
                <w:rFonts w:ascii="宋体" w:hAnsi="宋体" w:cs="宋体"/>
                <w:sz w:val="18"/>
                <w:szCs w:val="18"/>
              </w:rPr>
            </w:pPr>
            <w:r>
              <w:rPr>
                <w:rFonts w:hint="eastAsia" w:ascii="宋体" w:hAnsi="宋体" w:cs="宋体"/>
                <w:sz w:val="18"/>
                <w:szCs w:val="18"/>
              </w:rPr>
              <w:t xml:space="preserve">降落保护：在自主降落过程中，无人机飞行器能够检测下方地形.当下方地形为不平整地面或水面，飞行器保持悬停，同时通过地面站软件向用户发出警示信息；</w:t>
            </w:r>
            <w:r/>
          </w:p>
          <w:p>
            <w:pPr>
              <w:jc w:val="left"/>
              <w:spacing w:line="220" w:lineRule="exact"/>
              <w:widowControl/>
              <w:rPr>
                <w:rFonts w:ascii="宋体" w:hAnsi="宋体" w:cs="宋体"/>
                <w:sz w:val="18"/>
                <w:szCs w:val="18"/>
              </w:rPr>
            </w:pPr>
            <w:r>
              <w:rPr>
                <w:rFonts w:hint="eastAsia" w:ascii="宋体" w:hAnsi="宋体" w:cs="宋体"/>
                <w:sz w:val="18"/>
                <w:szCs w:val="18"/>
              </w:rPr>
              <w:t xml:space="preserve">具备飞行器自检功能；具备低电量自动返航功能；具备信号丢失自动返航功能。</w:t>
            </w:r>
            <w:r/>
          </w:p>
          <w:p>
            <w:pPr>
              <w:jc w:val="left"/>
              <w:spacing w:line="220" w:lineRule="exact"/>
              <w:widowControl/>
              <w:rPr>
                <w:rFonts w:ascii="宋体" w:hAnsi="宋体" w:cs="宋体"/>
                <w:sz w:val="18"/>
                <w:szCs w:val="18"/>
              </w:rPr>
            </w:pPr>
            <w:r>
              <w:rPr>
                <w:rFonts w:hint="eastAsia" w:ascii="宋体" w:hAnsi="宋体" w:cs="宋体"/>
                <w:sz w:val="18"/>
                <w:szCs w:val="18"/>
              </w:rPr>
              <w:t xml:space="preserve">2 、可见光相机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可见光相机CMOS：具备可见光测绘相机，相机CMOS不低于4/3英寸；</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可见光相机像素：有效像素不低于2000万；</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可见光相机像元尺寸：像元尺寸不小于3.3um；</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可见光相机机械快门：相机具有机械快门；</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可见光相机连续拍照间隔：最短连续拍照间隔不低于0.7秒；</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可见光相机内参标定：提供内参标定参数。</w:t>
            </w:r>
            <w:r/>
          </w:p>
          <w:p>
            <w:pPr>
              <w:jc w:val="left"/>
              <w:spacing w:line="220" w:lineRule="exact"/>
              <w:widowControl/>
              <w:rPr>
                <w:rFonts w:ascii="宋体" w:hAnsi="宋体" w:cs="宋体"/>
                <w:sz w:val="18"/>
                <w:szCs w:val="18"/>
              </w:rPr>
            </w:pPr>
            <w:r>
              <w:rPr>
                <w:rFonts w:hint="eastAsia" w:ascii="宋体" w:hAnsi="宋体" w:cs="宋体"/>
                <w:sz w:val="18"/>
                <w:szCs w:val="18"/>
              </w:rPr>
              <w:t xml:space="preserve">3 、多光谱相机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多光谱相机：除可见光相机外，应具备绿、红、红边、近红外多光谱相机；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多光谱相机有效像素：多光谱相机有效像素不低于500万；</w:t>
            </w:r>
            <w:r/>
          </w:p>
          <w:p>
            <w:pPr>
              <w:jc w:val="left"/>
              <w:spacing w:line="220" w:lineRule="exact"/>
              <w:widowControl/>
              <w:rPr>
                <w:rFonts w:ascii="宋体" w:hAnsi="宋体" w:cs="宋体"/>
                <w:sz w:val="18"/>
                <w:szCs w:val="18"/>
              </w:rPr>
            </w:pPr>
            <w:r>
              <w:rPr>
                <w:rFonts w:hint="eastAsia" w:ascii="宋体" w:hAnsi="宋体" w:cs="宋体"/>
                <w:sz w:val="18"/>
                <w:szCs w:val="18"/>
              </w:rPr>
              <w:t xml:space="preserve">绿波段多光谱相机波段范围：绿波段多光谱相机波段在560nm±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红波段多光谱相机波段范围：红波段多光谱相机波段在650nm±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红边波段多光谱相机波段范围：红边波段多光谱相机波段在730nm±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近红外波段多光谱相机波段范围：近红外波段多光谱相机波段在860nm± 16nm。</w:t>
            </w:r>
            <w:r/>
          </w:p>
          <w:p>
            <w:pPr>
              <w:jc w:val="left"/>
              <w:spacing w:line="220" w:lineRule="exact"/>
              <w:widowControl/>
              <w:rPr>
                <w:rFonts w:ascii="宋体" w:hAnsi="宋体" w:cs="宋体"/>
                <w:sz w:val="18"/>
                <w:szCs w:val="18"/>
              </w:rPr>
            </w:pPr>
            <w:r>
              <w:rPr>
                <w:rFonts w:hint="eastAsia" w:ascii="宋体" w:hAnsi="宋体" w:cs="宋体"/>
                <w:sz w:val="18"/>
                <w:szCs w:val="18"/>
              </w:rPr>
              <w:t xml:space="preserve">4 、航线软件功能</w:t>
            </w:r>
            <w:r/>
          </w:p>
          <w:p>
            <w:pPr>
              <w:jc w:val="left"/>
              <w:spacing w:line="220" w:lineRule="exact"/>
              <w:widowControl/>
              <w:rPr>
                <w:rFonts w:ascii="宋体" w:hAnsi="宋体" w:cs="宋体"/>
                <w:sz w:val="18"/>
                <w:szCs w:val="18"/>
              </w:rPr>
            </w:pPr>
            <w:r>
              <w:rPr>
                <w:rFonts w:hint="eastAsia" w:ascii="宋体" w:hAnsi="宋体" w:cs="宋体"/>
                <w:sz w:val="18"/>
                <w:szCs w:val="18"/>
              </w:rPr>
              <w:t xml:space="preserve">航线功能：支持航点、正射、倾斜、航带、仿地等多种航线作业类型；</w:t>
            </w:r>
            <w:r/>
          </w:p>
          <w:p>
            <w:pPr>
              <w:jc w:val="left"/>
              <w:spacing w:line="220" w:lineRule="exact"/>
              <w:widowControl/>
              <w:rPr>
                <w:rFonts w:ascii="宋体" w:hAnsi="宋体" w:cs="宋体"/>
                <w:sz w:val="18"/>
                <w:szCs w:val="18"/>
              </w:rPr>
            </w:pPr>
            <w:r>
              <w:rPr>
                <w:rFonts w:hint="eastAsia" w:ascii="宋体" w:hAnsi="宋体" w:cs="宋体"/>
                <w:sz w:val="18"/>
                <w:szCs w:val="18"/>
              </w:rPr>
              <w:t xml:space="preserve">实时仿地：无人机可实现自主实时仿地；</w:t>
            </w:r>
            <w:r/>
          </w:p>
          <w:p>
            <w:pPr>
              <w:jc w:val="left"/>
              <w:spacing w:line="220" w:lineRule="exact"/>
              <w:widowControl/>
              <w:rPr>
                <w:rFonts w:ascii="宋体" w:hAnsi="宋体" w:cs="宋体"/>
                <w:sz w:val="18"/>
                <w:szCs w:val="18"/>
              </w:rPr>
            </w:pPr>
            <w:r>
              <w:rPr>
                <w:rFonts w:hint="eastAsia" w:ascii="宋体" w:hAnsi="宋体" w:cs="宋体"/>
                <w:sz w:val="18"/>
                <w:szCs w:val="18"/>
              </w:rPr>
              <w:t xml:space="preserve">实时NDVI：支持实时NDVI植被指数查看；</w:t>
            </w:r>
            <w:r/>
          </w:p>
          <w:p>
            <w:pPr>
              <w:jc w:val="left"/>
              <w:spacing w:line="220" w:lineRule="exact"/>
              <w:widowControl/>
              <w:rPr>
                <w:rFonts w:ascii="宋体" w:hAnsi="宋体" w:cs="宋体"/>
                <w:sz w:val="18"/>
                <w:szCs w:val="18"/>
              </w:rPr>
            </w:pPr>
            <w:r>
              <w:rPr>
                <w:rFonts w:hint="eastAsia" w:ascii="宋体" w:hAnsi="宋体" w:cs="宋体"/>
                <w:sz w:val="18"/>
                <w:szCs w:val="18"/>
              </w:rPr>
              <w:t xml:space="preserve">可见光测绘：可单独使用可见光相机进行测绘作业；</w:t>
            </w:r>
            <w:r/>
          </w:p>
          <w:p>
            <w:pPr>
              <w:jc w:val="left"/>
              <w:spacing w:line="220" w:lineRule="exact"/>
              <w:widowControl/>
              <w:rPr>
                <w:rFonts w:ascii="宋体" w:hAnsi="宋体" w:cs="宋体"/>
                <w:sz w:val="18"/>
                <w:szCs w:val="18"/>
              </w:rPr>
            </w:pPr>
            <w:r>
              <w:rPr>
                <w:rFonts w:hint="eastAsia" w:ascii="宋体" w:hAnsi="宋体" w:cs="宋体"/>
                <w:sz w:val="18"/>
                <w:szCs w:val="18"/>
              </w:rPr>
              <w:t xml:space="preserve">密码保护:支持通过密码保护无人机机身存储的图像视频数据；</w:t>
            </w:r>
            <w:r/>
          </w:p>
          <w:p>
            <w:pPr>
              <w:jc w:val="left"/>
              <w:spacing w:line="220" w:lineRule="exact"/>
              <w:widowControl/>
              <w:rPr>
                <w:rFonts w:ascii="宋体" w:hAnsi="宋体" w:cs="宋体"/>
                <w:sz w:val="18"/>
                <w:szCs w:val="18"/>
              </w:rPr>
            </w:pPr>
            <w:r>
              <w:rPr>
                <w:rFonts w:hint="eastAsia" w:ascii="宋体" w:hAnsi="宋体" w:cs="宋体"/>
                <w:sz w:val="18"/>
                <w:szCs w:val="18"/>
              </w:rPr>
              <w:t xml:space="preserve">5、图传：工作频段：支持2.4G、5.8G图传；4G增强图传：支持4G dongle。</w:t>
            </w:r>
            <w:r/>
          </w:p>
          <w:p>
            <w:pPr>
              <w:jc w:val="left"/>
              <w:spacing w:line="220" w:lineRule="exact"/>
              <w:widowControl/>
              <w:rPr>
                <w:rFonts w:ascii="宋体" w:hAnsi="宋体" w:cs="宋体"/>
                <w:sz w:val="18"/>
                <w:szCs w:val="18"/>
              </w:rPr>
            </w:pPr>
            <w:r>
              <w:rPr>
                <w:rFonts w:hint="eastAsia" w:ascii="宋体" w:hAnsi="宋体" w:cs="宋体"/>
                <w:sz w:val="18"/>
                <w:szCs w:val="18"/>
              </w:rPr>
              <w:t xml:space="preserve">6、堵转保护：正在空转的电机被堵转后，1 秒内驱动器应切入保护状态，将电流降低到安全电流内。整个过程中驱动器应保证超过安全电流的时间总和不超过 0.2 秒。</w:t>
            </w:r>
            <w:r/>
          </w:p>
          <w:p>
            <w:pPr>
              <w:jc w:val="left"/>
              <w:spacing w:line="220" w:lineRule="exact"/>
              <w:widowControl/>
              <w:rPr>
                <w:rFonts w:ascii="宋体" w:hAnsi="宋体" w:cs="宋体"/>
                <w:sz w:val="18"/>
                <w:szCs w:val="18"/>
              </w:rPr>
            </w:pPr>
            <w:r>
              <w:rPr>
                <w:rFonts w:hint="eastAsia" w:ascii="宋体" w:hAnsi="宋体" w:cs="宋体"/>
                <w:sz w:val="18"/>
                <w:szCs w:val="18"/>
              </w:rPr>
              <w:t xml:space="preserve">7、温升：产品在正常工作条件下，其外壳温度不应超过 65℃，机内发热部件连续工作4h 后，其温升不应超过该部件的规定。</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8、高温储存：样品状态：不通电，不包装； 试验温度：(45±2)℃ ；试验时间：8h ；恢复时间：1h ；试验后，设备能稳定工作，各模块无工作异常。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9、高温工作：样品状态：通电工作；试验温度：(40±2)℃ ；试验时间：12h ；恢复时间：1h；试验中和试验后，设备能稳定工作，各模块无工作异常。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10、低温储存：样品状态：不通电，不包装；试验温度：(10±2)℃ ；试验时间：8h；恢复时间：1h；试验后，设备能稳定工作，各模块无工工作异常。</w:t>
            </w:r>
            <w:r/>
          </w:p>
          <w:p>
            <w:pPr>
              <w:jc w:val="left"/>
              <w:spacing w:line="220" w:lineRule="exact"/>
              <w:widowControl/>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11、盐雾：样品状态：不包装，不工作；盐雾试验条件：试验箱温度：（35±2）℃；氯化钠溶液质量百分比浓度：5%±1%；PH 值：6.5 ～ 7.2；盐雾沉降量（ml/80cm2/h）：1.0～2.0；喷雾方式：连续喷雾；喷雾时间：盐雾试验 8 小时；试验后，样品应能够正常工作。</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12、无人机设备包含3年保险。</w:t>
            </w:r>
            <w:r/>
          </w:p>
          <w:p>
            <w:pPr>
              <w:pStyle w:val="737"/>
              <w:ind w:firstLine="0"/>
              <w:spacing w:line="220" w:lineRule="exact"/>
              <w:widowControl/>
              <w:rPr>
                <w:rFonts w:eastAsia="宋体" w:cs="宋体"/>
                <w:sz w:val="18"/>
                <w:szCs w:val="18"/>
              </w:rPr>
            </w:pPr>
            <w:r>
              <w:rPr>
                <w:rFonts w:hint="eastAsia" w:eastAsia="宋体" w:cs="宋体"/>
                <w:sz w:val="18"/>
                <w:szCs w:val="18"/>
              </w:rPr>
              <w:t xml:space="preserve">注：</w:t>
            </w:r>
            <w:r>
              <w:rPr>
                <w:rFonts w:hint="eastAsia" w:eastAsia="宋体" w:cs="宋体"/>
                <w:sz w:val="18"/>
                <w:szCs w:val="18"/>
              </w:rPr>
              <w:t xml:space="preserve">带▲号条款须提供具有CNAS或CMA标识的产品检测报告原件扫描件。</w:t>
            </w:r>
            <w:r/>
          </w:p>
        </w:tc>
        <w:tc>
          <w:tcPr>
            <w:shd w:val="clear" w:color="auto" w:fill="auto"/>
            <w:tcW w:w="237"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w:t>
            </w:r>
            <w:r/>
          </w:p>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vMerge w:val="restart"/>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2746"/>
        </w:trPr>
        <w:tc>
          <w:tcPr>
            <w:shd w:val="clear" w:color="auto" w:fill="auto"/>
            <w:tcW w:w="293" w:type="pct"/>
            <w:vAlign w:val="center"/>
            <w:vMerge w:val="restart"/>
            <w:textDirection w:val="lrTb"/>
            <w:noWrap/>
          </w:tcPr>
          <w:p>
            <w:pPr>
              <w:pStyle w:val="716"/>
              <w:rPr>
                <w:color w:val="000000" w:themeColor="text1"/>
                <w:sz w:val="18"/>
                <w:szCs w:val="18"/>
              </w:rPr>
            </w:pPr>
            <w:r>
              <w:rPr>
                <w:color w:val="000000" w:themeColor="text1"/>
                <w:sz w:val="18"/>
                <w:szCs w:val="18"/>
              </w:rPr>
            </w:r>
            <w:r/>
          </w:p>
        </w:tc>
        <w:tc>
          <w:tcPr>
            <w:shd w:val="clear" w:color="auto" w:fill="auto"/>
            <w:tcW w:w="340" w:type="pct"/>
            <w:vAlign w:val="center"/>
            <w:vMerge w:val="restart"/>
            <w:textDirection w:val="lrTb"/>
            <w:noWrap w:val="false"/>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315"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无人值守机场（机巢）</w:t>
            </w:r>
            <w:r/>
          </w:p>
        </w:tc>
        <w:tc>
          <w:tcPr>
            <w:shd w:val="clear" w:color="auto" w:fill="auto"/>
            <w:tcW w:w="3223"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1.功能：支持无人机自动起降、自主充电；航拍数据自动回传：支持7×24小时无人值守作业；</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2.尺寸：≥640mm×745mm×465 mm；重量:≥55kg；电源：220V市电；</w:t>
            </w:r>
            <w:r/>
          </w:p>
          <w:p>
            <w:pPr>
              <w:jc w:val="left"/>
              <w:spacing w:line="220" w:lineRule="exact"/>
              <w:widowControl/>
              <w:rPr>
                <w:color w:val="000000" w:themeColor="text1"/>
                <w:sz w:val="18"/>
                <w:szCs w:val="18"/>
              </w:rPr>
            </w:pPr>
            <w:r>
              <w:rPr>
                <w:rFonts w:hint="eastAsia" w:ascii="宋体" w:hAnsi="宋体" w:cs="宋体"/>
                <w:color w:val="000000" w:themeColor="text1"/>
                <w:sz w:val="18"/>
                <w:szCs w:val="18"/>
                <w:lang w:bidi="ar"/>
              </w:rPr>
              <w:t xml:space="preserve">3.气象监测指标：空气温度、空气湿度、雨量、风速；</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▲4.工作环境：-40℃至55℃（提供具有CMA标识的检测报告原件扫描件）；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▲5.防护等级：≥IP55（提供具有CMA标识的检测报告原件扫描件）；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▲6.机库同步具备气象参数数据采集功能，同时支持自定义云设置（提供具有CMA标识的检测报告原件扫描件）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7.图传延时：≤2.0秒；</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8.机场控制与数据管理需支持接入苏农云平台；</w:t>
            </w:r>
            <w:r/>
          </w:p>
          <w:p>
            <w:pPr>
              <w:jc w:val="left"/>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▲9.数据传输：支持可见光、多光谱4波段（绿/红/红边/近红外）航拍图像远程自主回传。（需要提供系统截图并加盖投标人公章）</w:t>
            </w:r>
            <w:r/>
          </w:p>
        </w:tc>
        <w:tc>
          <w:tcPr>
            <w:shd w:val="clear" w:color="auto" w:fill="auto"/>
            <w:tcW w:w="237"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3708"/>
        </w:trPr>
        <w:tc>
          <w:tcPr>
            <w:shd w:val="clear" w:color="auto" w:fill="auto"/>
            <w:tcW w:w="293" w:type="pct"/>
            <w:vAlign w:val="center"/>
            <w:vMerge w:val="continue"/>
            <w:textDirection w:val="lrTb"/>
            <w:noWrap/>
          </w:tcPr>
          <w:p>
            <w:pPr>
              <w:pStyle w:val="716"/>
              <w:rPr>
                <w:color w:val="000000" w:themeColor="text1"/>
                <w:sz w:val="18"/>
                <w:szCs w:val="18"/>
              </w:rPr>
            </w:pPr>
            <w:r>
              <w:rPr>
                <w:color w:val="000000" w:themeColor="text1"/>
                <w:sz w:val="18"/>
                <w:szCs w:val="18"/>
              </w:rPr>
            </w:r>
            <w:r/>
          </w:p>
        </w:tc>
        <w:tc>
          <w:tcPr>
            <w:shd w:val="clear" w:color="auto" w:fill="auto"/>
            <w:tcW w:w="340" w:type="pct"/>
            <w:vAlign w:val="center"/>
            <w:vMerge w:val="continue"/>
            <w:textDirection w:val="lrTb"/>
            <w:noWrap w:val="false"/>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315"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无人机智能巡田飞控分析软件服务</w:t>
            </w:r>
            <w:r/>
          </w:p>
        </w:tc>
        <w:tc>
          <w:tcPr>
            <w:shd w:val="clear" w:color="auto" w:fill="auto"/>
            <w:tcW w:w="3223"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1.终端设备管理：机巢与无人机设备信息维护；机巢及飞机位置（经纬度）、状态显示；飞行情况统计；</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2.飞行控制管理：飞行控制（一键起飞或进仓/出仓等指令）；无人机航线规划；巡飞定时任务计划管理；</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3.飞行记录管理：飞行任务列表；飞行轨迹回溯；无人机实时状态（速度、高度、时长、风力、充电状态）；无人机及机巢实时影像（舱内、舱外）；航拍图片查看；</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4.影像拼接制图：可见光、NDVI正射影像制图；</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5.农情分析：农情分析结果查看；农情分析报告下载；综合决策建议；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6.基础配置管理：设备信息维护，地块信息维护，算法库配置；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7.算法包含：长势、倒伏、苗情、产量等四种专业算法模型和处方；</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支持飞行控制、航线规划、图像拼接、农情（长势、苗情、产量、倒伏等）分析等功能在同一平台内，并实现数据与省级管控平台（“苏农云”）实现接口级对接；（提供承诺函和系统截图并加盖投标人公章）</w:t>
            </w:r>
            <w:r/>
          </w:p>
          <w:p>
            <w:pPr>
              <w:jc w:val="left"/>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▲9.提供智能巡田分析系统、无人机机场操控平台等与本项目建设内容相关的软件著作权证书原件扫描件。</w:t>
            </w:r>
            <w:r/>
          </w:p>
        </w:tc>
        <w:tc>
          <w:tcPr>
            <w:shd w:val="clear" w:color="auto" w:fill="auto"/>
            <w:tcW w:w="237"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vMerge w:val="continue"/>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3491"/>
        </w:trPr>
        <w:tc>
          <w:tcPr>
            <w:shd w:val="clear" w:color="auto" w:fill="auto"/>
            <w:tcW w:w="293" w:type="pct"/>
            <w:vAlign w:val="center"/>
            <w:textDirection w:val="lrTb"/>
            <w:noWrap/>
          </w:tcPr>
          <w:p>
            <w:pPr>
              <w:pStyle w:val="716"/>
              <w:jc w:val="center"/>
              <w:rPr>
                <w:color w:val="auto"/>
                <w:sz w:val="18"/>
                <w:szCs w:val="18"/>
              </w:rPr>
            </w:pPr>
            <w:r>
              <w:rPr>
                <w:rFonts w:hint="eastAsia"/>
                <w:color w:val="auto"/>
                <w:sz w:val="18"/>
                <w:szCs w:val="18"/>
              </w:rPr>
              <w:t xml:space="preserve">7</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农作处方应用</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水稻、小麦模型算法及生产处方</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依据无人机/卫星遥感诊断结果、作物长势监测数据以及土壤养分分布信息，结合水稻模型和小麦模型，在作物生长的各个生长关键期，形成各个田块的处方设计图，包括施肥处方图、灌溉处方图及施药处方图。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1、采用大数据AI算法，由传感器监测感知空气、土壤、植物本体数据，融合deepseek等大语言模型，提供水稻小麦大田种植各阶段管理建议。</w:t>
            </w:r>
            <w:r>
              <w:rPr>
                <w:rFonts w:hint="eastAsia" w:ascii="宋体" w:hAnsi="宋体" w:cs="宋体"/>
                <w:sz w:val="18"/>
                <w:szCs w:val="18"/>
                <w:lang w:bidi="ar"/>
              </w:rPr>
              <w:br/>
              <w:t xml:space="preserve">2、采用大数据算法和专家系统相结合，为水稻小麦提供精准生长调控模型。</w:t>
            </w:r>
            <w:r>
              <w:rPr>
                <w:rFonts w:hint="eastAsia" w:ascii="宋体" w:hAnsi="宋体" w:cs="宋体"/>
                <w:sz w:val="18"/>
                <w:szCs w:val="18"/>
                <w:lang w:bidi="ar"/>
              </w:rPr>
              <w:br/>
              <w:t xml:space="preserve">3、融合水稻、小麦专家知识库，提升模型准确度。</w:t>
            </w:r>
            <w:r/>
          </w:p>
          <w:p>
            <w:pPr>
              <w:jc w:val="left"/>
              <w:spacing w:line="220" w:lineRule="exact"/>
              <w:widowControl/>
              <w:rPr>
                <w:rFonts w:ascii="宋体" w:hAnsi="宋体" w:cs="宋体"/>
                <w:sz w:val="18"/>
                <w:szCs w:val="18"/>
              </w:rPr>
            </w:pPr>
            <w:r>
              <w:rPr>
                <w:rFonts w:hint="eastAsia" w:ascii="宋体" w:hAnsi="宋体" w:cs="宋体"/>
                <w:sz w:val="18"/>
                <w:szCs w:val="18"/>
              </w:rPr>
              <w:t xml:space="preserve">▲4、可根据不同作物的环境特性，设定适宜的预警阈值，数据异常情况将自动提醒相关农事管理者。（提供具有检测资质的机构出具的带有CNAS标识的产品检测报告</w:t>
            </w:r>
            <w:r>
              <w:rPr>
                <w:rFonts w:hint="eastAsia" w:ascii="宋体" w:hAnsi="宋体" w:cs="宋体"/>
                <w:sz w:val="18"/>
                <w:szCs w:val="18"/>
                <w:lang w:bidi="ar"/>
              </w:rPr>
              <w:t xml:space="preserve">原件扫描件</w:t>
            </w:r>
            <w:r>
              <w:rPr>
                <w:rFonts w:hint="eastAsia" w:ascii="宋体" w:hAnsi="宋体" w:cs="宋体"/>
                <w:sz w:val="18"/>
                <w:szCs w:val="18"/>
              </w:rPr>
              <w:t xml:space="preserve">）</w:t>
            </w:r>
            <w:r/>
          </w:p>
          <w:p>
            <w:pPr>
              <w:jc w:val="left"/>
              <w:spacing w:line="220" w:lineRule="exact"/>
              <w:widowControl/>
              <w:rPr>
                <w:rFonts w:ascii="宋体" w:hAnsi="宋体" w:cs="宋体"/>
                <w:sz w:val="18"/>
                <w:szCs w:val="18"/>
              </w:rPr>
            </w:pPr>
            <w:r>
              <w:rPr>
                <w:rFonts w:hint="eastAsia" w:ascii="宋体" w:hAnsi="宋体" w:cs="宋体"/>
                <w:sz w:val="18"/>
                <w:szCs w:val="18"/>
              </w:rPr>
              <w:t xml:space="preserve">▲5、可展示不同时间段作物生长过程，进行年度生长过程对比，反映作物持续生长的差异性。（提供具有检测资质的机构出具的带有CNAS标识的产品检测报告</w:t>
            </w:r>
            <w:r>
              <w:rPr>
                <w:rFonts w:hint="eastAsia" w:ascii="宋体" w:hAnsi="宋体" w:cs="宋体"/>
                <w:sz w:val="18"/>
                <w:szCs w:val="18"/>
                <w:lang w:bidi="ar"/>
              </w:rPr>
              <w:t xml:space="preserve">原件扫描件</w:t>
            </w:r>
            <w:r>
              <w:rPr>
                <w:rFonts w:hint="eastAsia" w:ascii="宋体" w:hAnsi="宋体" w:cs="宋体"/>
                <w:sz w:val="18"/>
                <w:szCs w:val="18"/>
              </w:rPr>
              <w:t xml:space="preserve">）</w:t>
            </w:r>
            <w:r/>
          </w:p>
          <w:p>
            <w:pPr>
              <w:numPr>
                <w:ilvl w:val="0"/>
                <w:numId w:val="5"/>
              </w:numPr>
              <w:jc w:val="left"/>
              <w:spacing w:line="220" w:lineRule="exact"/>
              <w:widowControl/>
              <w:rPr>
                <w:sz w:val="18"/>
                <w:szCs w:val="18"/>
              </w:rPr>
            </w:pPr>
            <w:r>
              <w:rPr>
                <w:rFonts w:hint="eastAsia" w:ascii="宋体" w:hAnsi="宋体" w:cs="宋体"/>
                <w:sz w:val="18"/>
                <w:szCs w:val="18"/>
                <w:lang w:bidi="ar"/>
              </w:rPr>
              <w:t xml:space="preserve">提供覆盖泰兴全域的每茬稻麦作物的长势监测（卫星遥感），3年。</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2838"/>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8</w:t>
            </w:r>
            <w:r/>
          </w:p>
        </w:tc>
        <w:tc>
          <w:tcPr>
            <w:shd w:val="clear" w:color="auto" w:fill="auto"/>
            <w:tcW w:w="340" w:type="pct"/>
            <w:vAlign w:val="center"/>
            <w:vMerge w:val="restart"/>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病虫害自动监测</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智能虫情测报灯</w:t>
            </w:r>
            <w:r/>
          </w:p>
        </w:tc>
        <w:tc>
          <w:tcPr>
            <w:shd w:val="clear" w:color="auto" w:fill="auto"/>
            <w:tcW w:w="3223" w:type="pct"/>
            <w:vAlign w:val="center"/>
            <w:textDirection w:val="lrTb"/>
            <w:noWrap w:val="false"/>
          </w:tcPr>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2、整体结构采用不锈钢，采用光、电、数控技术，远程自动控制及识别计数。具漏电保护、避雷和防雨装置，雨虫分离技术，有防雨百叶，下雨天可以正常工作，正常捕虫，集虫器内不积水；</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w:t>
            </w:r>
            <w:r>
              <w:rPr>
                <w:rFonts w:hint="eastAsia" w:ascii="宋体" w:hAnsi="宋体" w:cs="宋体"/>
                <w:color w:val="000000" w:themeColor="text1"/>
                <w:sz w:val="18"/>
                <w:szCs w:val="18"/>
                <w:lang w:bidi="ar"/>
              </w:rPr>
              <w:t xml:space="preserve">黑鳃金蛾等130余种常见害虫，识别准确率≥91%，对一二类农作物病虫害名录中趋光性害虫的单种类识别计数准确率≥96%；（提供具有检测资质的机构出具的带有CNAS或CMA标识的检测报告原件扫描件）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6、摄像头:≥2500W工业相机，显示屏:&gt;7寸电容式触摸屏，系统:≥Android4.0；苗情球机监控：≥400W；</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7、对拍完照的虫子，需要保留标本的留在储存仓内，可分天存储7天以上，人工定期去收集,对于不需要标本的，虫子直接排出机器外部，避免人工去现场维护；（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9、虫体处理，仓温度 85士5℃，烘干时间≤5 分钟虫体处理致死率100%，虫体完整率100%；（提供具有检测资质的机构出具的带有CNAS或CMA标识的检测报告原件扫描件）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10、光源:20W黑光灯;波长:320~680nm，撞击屏长≥590mm，宽≥210mm，厚≥5mm，三块撞击屏角度为120°；</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▲11、采集数据实现自动远程传输，并可按要求接入国家级、省级、市级、县级和当地相关农作物有害生物监控信息系统；（提供具有检测资质的机构出具的带有CNAS或CMA标识的检测报告原件扫描件）</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12、自动清洁：定期自动清理撞击屏上的蜘蛛网，可远程实现一键远程辅助清虫，减少人工维护频率；</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14、产品的L/N到接地的金属外壳之间能经受1500V(交流有效值)，其电源频率50Hz,历时lmin的耐压试验，无飞弧击穿现象。</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15、支持查看设备拍摄区作物识别（水稻、小麦）、生育期识别及给出预测下一生育期时间；支持查看设备环境传感器数据；</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16、含气象传感器，可监测空气温湿度传感器、雨量等指标，可提供虫情发生量与气象关系的比较分析，提供当前生育期重大虫害捕捉统计及预计暴发时间分析，针对该暴发提供防治要点参考；</w:t>
            </w:r>
            <w:r/>
          </w:p>
          <w:p>
            <w:pPr>
              <w:jc w:val="left"/>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▲17、提供不少于两份省级（含）以上植保部门或农业技术推广部门出具的识别准确度验证报告，且识别准确率不低于85%。</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sz w:val="18"/>
                <w:szCs w:val="18"/>
                <w:lang w:bidi="ar"/>
              </w:rPr>
              <w:t xml:space="preserve">4</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2009"/>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9</w:t>
            </w:r>
            <w:r/>
          </w:p>
        </w:tc>
        <w:tc>
          <w:tcPr>
            <w:shd w:val="clear" w:color="auto" w:fill="auto"/>
            <w:tcW w:w="340" w:type="pct"/>
            <w:vAlign w:val="center"/>
            <w:vMerge w:val="continue"/>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高空智能虫情测报灯</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1、符合GB/T 24689.1-2009植物保护机</w:t>
            </w:r>
            <w:r>
              <w:rPr>
                <w:rFonts w:hint="eastAsia" w:ascii="宋体" w:hAnsi="宋体" w:cs="宋体"/>
                <w:sz w:val="18"/>
                <w:szCs w:val="18"/>
                <w:lang w:bidi="ar"/>
              </w:rPr>
              <w:t xml:space="preserve">械 虫情测报灯标准设计。                                                                                                                                                                                                        2、专用于农业虫害防治，集中诱杀高空低空害虫；有效防治迁飞性害虫迁入危害，防止灾害发生。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3、整体结构采用不锈钢材质，采用防雨设计，雨天正常捕虫，能有效将雨、虫分离，防水等级IP65，为保证昆虫的诱集效率，设有互成120°撞击屏；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4、诱集光源：采用1000W金属卤化物灯光源；</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5、远红外虫体处理: 远红外虫体处理，设备启动15分钟后达到85±5℃，处理时间可调，虫体处理致死率不小于100%，虫体完整率不小于98%，识别并正确计数一类二类农业害虫种类不少于30种，识别准确率≥90%；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6、具有光控模式、时控模式、休眠模式三种工作状态。光控模式下，设备白天自动关灯，夜间自动开灯，工作时间长度可设定； 时控模式下，设备在时段内自动开灯，在时段外自动关灯；休眠模式下，设备关灯，仍然通讯；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7、支持手机App与Web端控制,可远程查看地理位置、远程控制、工作状态、网络运行等情况；</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8、工作环境可在温度 0~40℃，湿度不大于 95%RH 的环境下正常工作；</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9、供电电源: AC220V 供电，频率50Hz，绝缘电阻:&gt;2.5MΩ；</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10、设备具有定位功能，可实现在GIS地图上查看所有安装的设备，可在GIS地图上直接选择进入设备查看状态，实现对设备的统一管理；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11、可通过Web端与APP远程控制，提供手机APP或Web端账户及密码，可指导用户操作使用；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12、一个账户可远程控制多台不同编号的设备，配置方法由服务人员后台设</w:t>
            </w:r>
            <w:r>
              <w:rPr>
                <w:rFonts w:hint="eastAsia" w:ascii="宋体" w:hAnsi="宋体" w:cs="宋体"/>
                <w:sz w:val="18"/>
                <w:szCs w:val="18"/>
                <w:lang w:bidi="ar"/>
              </w:rPr>
              <w:t xml:space="preserve">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13、可通过手机APP及WEB端远程设置设备的开关、工程调试模式、远程重启，查看设备联网状态、信号、设备经纬度信息、通讯卡有效时间；远程设置光控、时控、休眠模式；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14、设备告警：可提示设备亏电、信号不足、需要维修等状态报警，可显示设备编号及告警时间，通过Web端及APP端提示；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智能虫情测报系统，可以按时间段进行统计虫情数量及趋势分析；支持对虫情的综合分析、预警分析、地图分析；（提供平台功能应用截图并提供具有检测资质的机构出具的带有CNAS或CMA标识的检测报告原件扫描件）</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16、智能虫情测报系统，可以分省，市，县，镇等多级不同权限;管理员可以查看本系统所用用户的操作记录，可看查询指定用户在指定时间内的操作记录。（提供平台功能应用截图并提供具有检测资质的机构出具的带有CNAS或CMA标识的检测报告原件扫描件）</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783"/>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10</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病虫害自动监测</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小虫体智能测报灯（稻飞虱）</w:t>
            </w:r>
            <w:r/>
          </w:p>
        </w:tc>
        <w:tc>
          <w:tcPr>
            <w:shd w:val="clear" w:color="auto" w:fill="auto"/>
            <w:tcW w:w="3223" w:type="pct"/>
            <w:vAlign w:val="center"/>
            <w:textDirection w:val="lrTb"/>
            <w:noWrap w:val="false"/>
          </w:tcPr>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专用于诱杀和测报稻飞虱，百叶过滤非靶标大虫子，避免出现由于体积较大的虫子掩盖稻飞虱，导致摄像头无法采集到造成测报不准的问题。采用光、电、数控技术，远程自动控制。有防雨百叶，下雨天可以正常工作，正常捕虫；</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▲2、诱捕与拍照技术集成于</w:t>
            </w:r>
            <w:r>
              <w:rPr>
                <w:rFonts w:hint="eastAsia" w:ascii="宋体" w:hAnsi="宋体" w:eastAsia="宋体" w:cs="宋体"/>
                <w:color w:val="auto"/>
                <w:sz w:val="18"/>
                <w:szCs w:val="18"/>
              </w:rPr>
              <w:t xml:space="preserve">一体的虫情测报系统，通过定制波段光源诱捕靶标害虫，内置不低于2000W高清工业摄像机，对小虫体进行活体拍照，针对飞虱类、叶蝉类等小虫体害虫进行自动识别计数，通过A1 智能识别包含白背飞虱、褐飞虱属、灰飞虱、花超飞虱属、丽中带飞虱、黑边梅塔飞虱、锥飞虱亚科、长绿飞虱、黑尾叶蝉、粒脉蜡蝉科、电光叶蝉、小绿叶蝉、楝白小叶蝉、凹缘菱纹叶蝉、大青叶蝉、十紫二叉叶蝉、其他叶蝉、黑肩绿盲蝽、其他绿盲蝽、蚁形隐翅虫等20余种微小虫体，识别准确率≥90%。(提供具有CNAS或CMA标识的相关检测机构出具的检测报告原件扫描件。</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3、可远程设置工作模式，通过PC云端及手机APP端能远程自动拍照和手动拍照，工业彩色手触摸屏显示与操作，屏幕尺寸≥7寸，安卓系统智能控制。全中文液晶显示，可分时段设置和控制，自动拍照和手动拍照均可。</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4、设备进虫口采用特殊装置构造，设有大小虫体隔离装置，将大小虫体进行隔离，具有防止外物杂物、雨水侵入，防止内部昆虫逃逸的特点，对飞虱、叶蝉、绿盲蝽等小虫体进行活体拍照，虫体完整率≥95%。</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6、图像处理：包括但不限于画面分割、切换处理及保存等功能。图片保存质量应满足虫体人工手动计数的识别需求。</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7、内置GPS定位功能，可在地图中查看设备站点等数据。在PC云端地图中查看设备站点等数据，设备被盗可追踪。</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9、虫子收集储存技术：对拍完照的虫子，需要保留标本的留在储存袋内，人工定期去收集；对于不需要标本的，虫子直接排出机器外部；</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10、电源：太阳能供电，直流12v；灯管启动时间：开机后小于5秒；绝缘电阻：大于2.5MΩ；</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11、工作环境温度：0～70℃，工作环境湿度：≤95%。</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▲12、虫害爆发分析模型：将捕获到的昆虫进行统计分析，绘制出虫害的发生趋势与发生轨迹，并确定其发生源头，以此为数据基础实现病虫害的预测预警；</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13、具备标准化数据输出接口，支持与国家级、省级、市级、县区级和当地相关信息调度管理平台实现无缝对接。</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14、作物产量评估模型：根据虫害、天气、土壤、作物、农事等数据，实现作物整个生育期内各指标的模拟。</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▲15、具有不少于两个省级（含）以上植保部门或农业技术推广部门出具的应用试验报告，且试验识别准确率高于90%。</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▲16、关注微信公众号，即可接收设备诱虫信息推送:包括灯下成虫首现信息和每日诱虫数据。根据账号权限，省市县数据三级贯通，按权限隔离。</w:t>
            </w:r>
            <w:r/>
          </w:p>
        </w:tc>
        <w:tc>
          <w:tcPr>
            <w:shd w:val="clear" w:color="auto" w:fill="auto"/>
            <w:tcW w:w="237" w:type="pct"/>
            <w:vAlign w:val="center"/>
            <w:textDirection w:val="lrTb"/>
            <w:noWrap/>
          </w:tcPr>
          <w:p>
            <w:pPr>
              <w:jc w:val="center"/>
              <w:spacing w:line="220" w:lineRule="exact"/>
              <w:widowControl/>
              <w:rPr>
                <w:rFonts w:ascii="宋体" w:hAnsi="宋体" w:cs="宋体"/>
                <w:color w:val="ff0000"/>
                <w:sz w:val="18"/>
                <w:szCs w:val="18"/>
                <w:lang w:bidi="ar"/>
              </w:rPr>
            </w:pPr>
            <w:r>
              <w:rPr>
                <w:rFonts w:hint="eastAsia" w:ascii="宋体" w:hAnsi="宋体" w:cs="宋体"/>
                <w:sz w:val="18"/>
                <w:szCs w:val="18"/>
                <w:lang w:bidi="ar"/>
              </w:rPr>
              <w:t xml:space="preserve">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3414"/>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11</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病虫害自动监测</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稻纵卷叶螟智能赶蛾统计杆</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 全域覆盖机构：扫杆支持正/逆时针360°双向旋转，最大展开长度4米，有效作业面积50㎡；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 智能升降系统：垂直调节行程≥1米，适配各品种水稻株高范围（须提供具有CNAS标识相关检测机构出具的有效检测报告原件扫描件）；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 安全复位机制：作业完成后自动归位至预设安全位置；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 高清成像组件：配置400万像素CMOS传感器摄像头；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 自适应光学控制：支持远程调节焦距；</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 双模调节功能：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   - 自动模式：具备通过图像识别水稻高度后，自动调整每日赶蛾高度；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   - 手动模式：支持后台远程设置1-360°作业角度。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 环境适应策略：可联动调整作业时间（日出时间30min）、延迟启动（雨停后30min）；</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▲8. 目标识别引擎：识别算法可有效剔除杂虫干扰，稻纵卷叶螟识别准确率≥90%（须提供具有CNAS标识相关检测机构出具的有效检测报告原件扫描件）；</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4704"/>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12</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可移动调查设备</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头戴式可移动田间智能监测调查设备（农业病虫害AR智能测报仪）</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1、操作系统：Android系统（AOSP），双麦克风，带降噪算法；</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2、内存/芯片： 32GB，≥8核芯片，通用无线网络：支持wifi2.4GHz、wifi5GHz、蓝牙5.0。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3、显示器:≤ 0.23寸单目屏幕，像素密度≥3281ppi，峰值亮度≥3000nits，室外阳光下清晰可见；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4、摄像头：长焦≥8M 5X (120mm，支持AF、OIS)+广角≥ 50M (28mm，支持AF)，传感器：6轴陀螺仪+环境光传感器,PDAF高速相位对焦。</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5、触控：支持3点触控场景，触控区≤20*50mm；</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6、电池：≥990mAh/3.81Wh，聚合物电芯，4.45V，充电：5V2A，2PIN，续航时间2-3h，可边充电边工作，总重量≤100g；</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7、一体机形态，无需外接数据线，无论性别、头围大小、瞳距不同皆可佩戴使用。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8、防水性：IP54防尘防水，佩戴轻便。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▲9、实现对稻飞虱15个指标进行有效识别，平均识别准确率≥95%（投标人须提供具有CNAS标识相关检测机构出具的有效检测报告原件扫描件）；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10、支持小麦赤霉病的分级定量识别；</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11、支持蚜虫的定量计数识别；</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▲12、实现自动识别烟粉虱的幼虫、成虫并自动统计计数（投标人须提供具有CNAS标识相关检测机构出具的有效检测报告原件扫描件）；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13、支持可个性化配置，根据区域植保站主要病虫害配置调查场景以及配套的识别模型服务，支持第三方识别服务的接入；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14、具有手机APP端和PC端双操作平台，可查看、编辑数据:手机端通过采集时间、采集对象进行数据筛选和查看;PC端均可通过采集时间、采集对象、采集用户、采集地点进行数据筛选、搜索和查看。</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15、支持PC端导出病虫害调查数据列表。</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4</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5361"/>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13</w:t>
            </w:r>
            <w:r/>
          </w:p>
        </w:tc>
        <w:tc>
          <w:tcPr>
            <w:shd w:val="clear" w:color="auto" w:fill="auto"/>
            <w:tcW w:w="340" w:type="pct"/>
            <w:vAlign w:val="center"/>
            <w:textDirection w:val="lrTb"/>
            <w:noWrap/>
          </w:tcPr>
          <w:p>
            <w:pPr>
              <w:jc w:val="left"/>
              <w:spacing w:line="220" w:lineRule="exact"/>
              <w:widowControl/>
              <w:tabs>
                <w:tab w:val="left" w:pos="481" w:leader="none"/>
              </w:tabs>
              <w:rPr>
                <w:rFonts w:ascii="宋体" w:hAnsi="宋体" w:cs="宋体"/>
                <w:sz w:val="18"/>
                <w:szCs w:val="18"/>
                <w:lang w:bidi="ar"/>
              </w:rPr>
            </w:pPr>
            <w:r>
              <w:rPr>
                <w:rFonts w:hint="eastAsia" w:ascii="宋体" w:hAnsi="宋体" w:cs="宋体"/>
                <w:sz w:val="18"/>
                <w:szCs w:val="18"/>
                <w:lang w:bidi="ar"/>
              </w:rPr>
              <w:t xml:space="preserve">病害自动监测</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赤霉病、稻瘟病自动监测站</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▲1、作物病害自动监测预警模型</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系统包括子囊壳形成与温湿度关系模型、侵染概率模型、菌量模型、潜育速率模型、显症率模型、重复侵染概率模型、病穗率模型、发病程度模型等子模型，构成小麦-玉米轮作和小麦-水稻轮作的赤霉病、稻瘟病监测预警模型。（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2、作物病害自动监测预警系统软件部分</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 数据采集云存储：实时采集田间数据，每2小时上传一次，储存至少3年历史数据，用折线图、数据列表等不同形式展示；（提供国家权威机构出具的检测报告原件扫描件）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2.2 预测结果与国家标准对应，在小麦赤霉病、稻瘟病防治关键期前15天开始预报发病情况，超过防治指标自动报警，可在电脑PC端、手机微信小程序查看；（提供国家权威机构出具的检测报告原件扫描件）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2.3 开放式系统平台，自动接入国家平台，可接入其他省、市、县区级平台。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3、作物病害自动监测预警系统硬件部分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 主机规格：高1.8 m ，重量80kg；电池容量：12 V 20 A（采用高原专用电池6-CNJ-20，输出功率受环境温度影响较小）；太阳能板：40W；功耗：10 mA；工作时间：在连续阴雨天环境中可持续工作30天；工作温度范围：-20℃~80℃；</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3.2 整机为SUS 304不锈钢材质，耐酸碱，耐腐蚀，防护等级IP67，抗冲击等级IK08；</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3.3 温度及降雨量采集传感器采用光电感应技术；风速风向传感器采用超声波采集技术；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3.4 仪器具有远程调试、无人值守、无缝监控等功能。                                                                                                                                                                                                               4、预测准确率可达95%。</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746"/>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14</w:t>
            </w:r>
            <w:r/>
          </w:p>
        </w:tc>
        <w:tc>
          <w:tcPr>
            <w:shd w:val="clear" w:color="auto" w:fill="auto"/>
            <w:tcW w:w="340" w:type="pct"/>
            <w:vAlign w:val="center"/>
            <w:textDirection w:val="lrTb"/>
            <w:noWrap/>
          </w:tcPr>
          <w:p>
            <w:pPr>
              <w:jc w:val="left"/>
              <w:spacing w:line="220" w:lineRule="exact"/>
              <w:widowControl/>
              <w:tabs>
                <w:tab w:val="left" w:pos="481" w:leader="none"/>
              </w:tabs>
              <w:rPr>
                <w:rFonts w:ascii="宋体" w:hAnsi="宋体" w:cs="宋体"/>
                <w:sz w:val="18"/>
                <w:szCs w:val="18"/>
                <w:lang w:bidi="ar"/>
              </w:rPr>
            </w:pPr>
            <w:r>
              <w:rPr>
                <w:rFonts w:hint="eastAsia" w:ascii="宋体" w:hAnsi="宋体" w:cs="宋体"/>
                <w:sz w:val="18"/>
                <w:szCs w:val="18"/>
                <w:lang w:bidi="ar"/>
              </w:rPr>
              <w:t xml:space="preserve">病害自动监测</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离心式单逆流孢子捕捉仪</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 离心式单逆流孢子捕捉仪功能特点</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 具有自动采集空气中的病菌孢子、污染物、粉尘、花粉等，为病害监测预警提供可靠 数据的功能；（提供国家权威机构出具的检测报告原件扫描件加盖制造商公章）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 对空气传播性病原菌孢子，实验室进行PCR定量检测分析，系统平台查看作物生长关键期病原菌孢子数量；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 可持续无间断采样、不会过载，不会损失，不会改变采样效率；（提供国家权威机构出具的检测报告原件扫描件加盖制造商公章）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 可在连续阴雨天中持续工作30天以上；</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 具有远程调试、无人值守、无缝监控等功能；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 采集控制器：4G云智能多路遥控开关，远程遥控孢子捕捉仪开关机；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 离心式单逆流孢子捕捉仪参数：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 支撑板：厚度5 mm的304不锈钢；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2.2 支撑架：镀锌；</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2.3防护罩：1mm 厚 1060#铝板；</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2.4双头螺栓：304不锈钢；</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2.5 底盘：ZL102表面喷塑；</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2.6 通气管连接支架：PVC；</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2.7 取样管为2ml亚克力，每7天更换一次；</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2.8 风标、风机罩、挡板：厚度≥5 mm的航空铝板，阳极化处理；（提供国家权威机构出具的检测报告原件扫描件加盖制造商公章）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2.9 真空泵由7000转/分的电机驱动，驱动的风盘动平衡数值≤0.03g；（提供国家权威机构出具的检测报告原件扫描件加盖制造商公章）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2.10 真空泵带动单逆流微型旋风分离器，分离器连接采样器；（提供国家权威机构出具的检测报告原件扫描件加盖制造商公章）</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2.11 具有蓄电池温度补偿功能；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 电源转换供电系统参数：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3.1光伏阵列极性反接保护、蓄电池极性反接保护、蓄电池超压保护、蓄电池过放保护、蓄电池超温保护、负载过载保护、负载短路保护、温度传感器损坏保护、控制器超温保护；</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3.2 LED指示灯显示；</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3.3额定充电电流：10A；</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3.4空载损耗：＜30Ma/12V；</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3.5充放电回路压降：＜0.5V；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3.6 输出电压：DC12V，输出最大功率：120W；</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3.7 电芯型号：18650/3.7V；</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3.8 电池外壳：铝外壳；</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3.9 工作环境温度：-35℃～85℃；                                                                            </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3.10 工作环境温度内(-25℃～55℃)能以额定充电电流满载连续运行；</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3.11 箱体采用1.2mm厚镀锌板，外表高温喷塑；</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3.12 锂电保护：短路保护，过充保护，过放保护，过流保护。</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sz w:val="18"/>
                <w:szCs w:val="18"/>
                <w:lang w:bidi="ar"/>
              </w:rPr>
            </w:pPr>
            <w:r>
              <w:rPr>
                <w:rFonts w:ascii="宋体" w:hAnsi="宋体" w:cs="宋体"/>
                <w:sz w:val="18"/>
                <w:szCs w:val="18"/>
                <w:lang w:bidi="ar"/>
              </w:rPr>
            </w:r>
            <w:r/>
          </w:p>
        </w:tc>
      </w:tr>
      <w:tr>
        <w:trPr>
          <w:trHeight w:val="6100"/>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15</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病虫害自动分析</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病虫害防治分析系统</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将县域内所有农业物联网设备采集的数据通过网络传输到系统内，并进行数据标准化验证和统一管理，提高调查资料的准确性和可比性，减少人为和其它因素</w:t>
            </w:r>
            <w:r>
              <w:rPr>
                <w:rFonts w:hint="eastAsia" w:ascii="宋体" w:hAnsi="宋体" w:cs="宋体"/>
                <w:sz w:val="18"/>
                <w:szCs w:val="18"/>
              </w:rPr>
              <w:t xml:space="preserve">造成的数据误差，提高测报准确率。建立田间智能物联网设备管理库，管理设备的运行状态。此外还有病虫害监测数据查询、统计及图形分析、地区病虫害档案和病虫图谱、预报情报报送等功能。功能清单包括：主页、数据查询（按设备查询、按指标查询、多指标专题等）、数据分析（数据展示屏、多年同比分析、多指标叠加分析、多区域分析、单点分析等）、物联网管理（监测点管理、物联网数据同步日志、设备数据、物联网图片展示等）、知识库（植保知识库、多媒体库等）、信息发布管理（发布用户管理、发布信息管理、发布记录管理等）、系统管理（用户管理等）；</w:t>
            </w:r>
            <w:r/>
          </w:p>
          <w:p>
            <w:pPr>
              <w:jc w:val="left"/>
              <w:spacing w:line="220" w:lineRule="exact"/>
              <w:widowControl/>
              <w:rPr>
                <w:rFonts w:ascii="宋体" w:hAnsi="宋体" w:cs="宋体"/>
                <w:sz w:val="18"/>
                <w:szCs w:val="18"/>
              </w:rPr>
            </w:pPr>
            <w:r>
              <w:rPr>
                <w:rFonts w:hint="eastAsia" w:ascii="宋体" w:hAnsi="宋体" w:cs="宋体"/>
                <w:sz w:val="18"/>
                <w:szCs w:val="18"/>
              </w:rPr>
              <w:t xml:space="preserve">具体要求如下：</w:t>
            </w:r>
            <w:r/>
          </w:p>
          <w:p>
            <w:pPr>
              <w:jc w:val="left"/>
              <w:spacing w:line="220" w:lineRule="exact"/>
              <w:widowControl/>
              <w:rPr>
                <w:rFonts w:ascii="宋体" w:hAnsi="宋体" w:cs="宋体"/>
                <w:sz w:val="18"/>
                <w:szCs w:val="18"/>
              </w:rPr>
            </w:pPr>
            <w:r>
              <w:rPr>
                <w:rFonts w:hint="eastAsia" w:ascii="宋体" w:hAnsi="宋体" w:cs="宋体"/>
                <w:sz w:val="18"/>
                <w:szCs w:val="18"/>
              </w:rPr>
              <w:t xml:space="preserve">1、按设备查询：根据各种物联网设备的数据种类、采集间隔、监测对象特点，针对不同物联网设备分别设置不同的查询、汇总条件和数据查询结果、展现方法，查询方法必须根据每种设备进行逐个查询，页面打开即可自动查询近期数据而无需手工选择查询条件；</w:t>
            </w:r>
            <w:r/>
          </w:p>
          <w:p>
            <w:pPr>
              <w:jc w:val="left"/>
              <w:spacing w:line="220" w:lineRule="exact"/>
              <w:widowControl/>
              <w:rPr>
                <w:rFonts w:ascii="宋体" w:hAnsi="宋体" w:cs="宋体"/>
                <w:sz w:val="18"/>
                <w:szCs w:val="18"/>
              </w:rPr>
            </w:pPr>
            <w:r>
              <w:rPr>
                <w:rFonts w:hint="eastAsia" w:ascii="宋体" w:hAnsi="宋体" w:cs="宋体"/>
                <w:sz w:val="18"/>
                <w:szCs w:val="18"/>
              </w:rPr>
              <w:t xml:space="preserve">2、按指标查询：按照虫害、病害、气象等各类指标来查询数据，查询时系统会自动将可采集该指标的设备筛选出来，查询结果可根据指标的数据特点进行有效呈现；</w:t>
            </w:r>
            <w:r/>
          </w:p>
          <w:p>
            <w:pPr>
              <w:jc w:val="left"/>
              <w:spacing w:line="220" w:lineRule="exact"/>
              <w:widowControl/>
              <w:rPr>
                <w:rFonts w:ascii="宋体" w:hAnsi="宋体" w:cs="宋体"/>
                <w:sz w:val="18"/>
                <w:szCs w:val="18"/>
              </w:rPr>
            </w:pPr>
            <w:r>
              <w:rPr>
                <w:rFonts w:hint="eastAsia" w:ascii="宋体" w:hAnsi="宋体" w:cs="宋体"/>
                <w:sz w:val="18"/>
                <w:szCs w:val="18"/>
              </w:rPr>
              <w:t xml:space="preserve">▲3、多指标专题：后台管理员分别对虫害、病害、墒情、灾情专题配置关联指标，使用者无需过多操作即可实现核心指标与因子指标的叠加关系分析；（提供平台功能应用截图）</w:t>
            </w:r>
            <w:r/>
          </w:p>
          <w:p>
            <w:pPr>
              <w:jc w:val="left"/>
              <w:spacing w:line="220" w:lineRule="exact"/>
              <w:widowControl/>
              <w:rPr>
                <w:rFonts w:ascii="宋体" w:hAnsi="宋体" w:cs="宋体"/>
                <w:sz w:val="18"/>
                <w:szCs w:val="18"/>
              </w:rPr>
            </w:pPr>
            <w:r>
              <w:rPr>
                <w:rFonts w:hint="eastAsia" w:ascii="宋体" w:hAnsi="宋体" w:cs="宋体"/>
                <w:sz w:val="18"/>
                <w:szCs w:val="18"/>
              </w:rPr>
              <w:t xml:space="preserve">▲4、多指标叠加分析：使用者可将任何物联网监测指标进行叠加分析，叠加时可自动根据指标属性设定统计周期，帮助使用者进行综合业务分析；（提供平台功能应用截图）</w:t>
            </w:r>
            <w:r/>
          </w:p>
          <w:p>
            <w:pPr>
              <w:jc w:val="left"/>
              <w:spacing w:line="220" w:lineRule="exact"/>
              <w:widowControl/>
              <w:rPr>
                <w:rFonts w:ascii="宋体" w:hAnsi="宋体" w:cs="宋体"/>
                <w:sz w:val="18"/>
                <w:szCs w:val="18"/>
              </w:rPr>
            </w:pPr>
            <w:r>
              <w:rPr>
                <w:rFonts w:hint="eastAsia" w:ascii="宋体" w:hAnsi="宋体" w:cs="宋体"/>
                <w:sz w:val="18"/>
                <w:szCs w:val="18"/>
              </w:rPr>
              <w:t xml:space="preserve">5、发布信息管理：使用者可根据内置模板对发布信息进行编辑管理，并可将编辑好的信息发布给预先设定的订阅号、服务号的管理员微信进行预览；模板确认后，系统将根据模板设定的统计周期定期将信息发布给所有用户。</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5650"/>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16</w:t>
            </w:r>
            <w:r/>
          </w:p>
        </w:tc>
        <w:tc>
          <w:tcPr>
            <w:shd w:val="clear" w:color="auto" w:fill="auto"/>
            <w:tcW w:w="340" w:type="pct"/>
            <w:vAlign w:val="center"/>
            <w:vMerge w:val="restart"/>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智能灌溉系统</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智能一体化进、出水闸门及渠道配套改造</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本项1套智能闸门包含：进水闸门、出水闸门各1个及相关配件。</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闸门：铝合金/不锈钢材质，闸口30cm，闸门适用于正反向水压条件，闸门结构坚固、耐磨耐蚀性强。</w:t>
            </w:r>
            <w:r/>
          </w:p>
          <w:p>
            <w:pPr>
              <w:numPr>
                <w:ilvl w:val="0"/>
                <w:numId w:val="6"/>
              </w:numPr>
              <w:jc w:val="left"/>
              <w:spacing w:line="220" w:lineRule="exact"/>
              <w:widowControl/>
              <w:rPr>
                <w:rFonts w:ascii="宋体" w:hAnsi="宋体" w:cs="宋体"/>
                <w:sz w:val="18"/>
                <w:szCs w:val="18"/>
              </w:rPr>
            </w:pPr>
            <w:r>
              <w:rPr>
                <w:rFonts w:hint="eastAsia" w:ascii="宋体" w:hAnsi="宋体" w:cs="宋体"/>
                <w:sz w:val="18"/>
                <w:szCs w:val="18"/>
                <w:lang w:bidi="ar"/>
              </w:rPr>
              <w:t xml:space="preserve">驱动电机：性能驱动电机，DC24V直流电机，频繁启停，宽速度调节范围。</w:t>
            </w:r>
            <w:r/>
          </w:p>
          <w:p>
            <w:pPr>
              <w:numPr>
                <w:ilvl w:val="0"/>
                <w:numId w:val="6"/>
              </w:numPr>
              <w:jc w:val="left"/>
              <w:spacing w:line="220" w:lineRule="exact"/>
              <w:widowControl/>
              <w:rPr>
                <w:rFonts w:ascii="宋体" w:hAnsi="宋体" w:cs="宋体"/>
                <w:sz w:val="18"/>
                <w:szCs w:val="18"/>
              </w:rPr>
            </w:pPr>
            <w:r>
              <w:rPr>
                <w:rFonts w:hint="eastAsia" w:ascii="宋体" w:hAnsi="宋体" w:cs="宋体"/>
                <w:sz w:val="18"/>
                <w:szCs w:val="18"/>
                <w:lang w:bidi="ar"/>
              </w:rPr>
              <w:t xml:space="preserve">支架：30cm闸门支架；电机固定支架；电池固定支架；限位开关固定支架；控制器固定支架。</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控制器与配套电路：无线远程控制器、配套电路，功能:单片机数据采集显示、数据处理、计算、报警、传输等，控制设备包括阀门等</w:t>
            </w:r>
            <w:r>
              <w:rPr>
                <w:rFonts w:hint="eastAsia" w:ascii="宋体" w:hAnsi="宋体" w:cs="宋体"/>
                <w:sz w:val="18"/>
                <w:szCs w:val="18"/>
                <w:lang w:bidi="ar"/>
              </w:rPr>
              <w:br/>
              <w:t xml:space="preserve">用途：传感器数据采集、传感器数据传输，工业级</w:t>
            </w:r>
            <w:r>
              <w:rPr>
                <w:rFonts w:hint="eastAsia" w:ascii="宋体" w:hAnsi="宋体" w:cs="宋体"/>
                <w:sz w:val="18"/>
                <w:szCs w:val="18"/>
                <w:lang w:bidi="ar"/>
              </w:rPr>
              <w:br/>
              <w:t xml:space="preserve">输入电压：DC5~36V</w:t>
            </w:r>
            <w:r>
              <w:rPr>
                <w:rFonts w:hint="eastAsia" w:ascii="宋体" w:hAnsi="宋体" w:cs="宋体"/>
                <w:sz w:val="18"/>
                <w:szCs w:val="18"/>
                <w:lang w:bidi="ar"/>
              </w:rPr>
              <w:br/>
              <w:t xml:space="preserve">RS485 协议处理：支持自定义问询指令下发、支持标准MODBUS协议解析</w:t>
            </w:r>
            <w:r>
              <w:rPr>
                <w:rFonts w:hint="eastAsia" w:ascii="宋体" w:hAnsi="宋体" w:cs="宋体"/>
                <w:sz w:val="18"/>
                <w:szCs w:val="18"/>
                <w:lang w:bidi="ar"/>
              </w:rPr>
              <w:br/>
              <w:t xml:space="preserve">工作电流：35mA/12v 网络缓存：4K  数据接口：RS232/485</w:t>
            </w:r>
            <w:r>
              <w:rPr>
                <w:rFonts w:hint="eastAsia" w:ascii="宋体" w:hAnsi="宋体" w:cs="宋体"/>
                <w:sz w:val="18"/>
                <w:szCs w:val="18"/>
                <w:lang w:bidi="ar"/>
              </w:rPr>
              <w:br/>
              <w:t xml:space="preserve">波特率：2400bps~115200bps  天线接口：SMA射频座</w:t>
            </w:r>
            <w:r>
              <w:rPr>
                <w:rFonts w:hint="eastAsia" w:ascii="宋体" w:hAnsi="宋体" w:cs="宋体"/>
                <w:sz w:val="18"/>
                <w:szCs w:val="18"/>
                <w:lang w:bidi="ar"/>
              </w:rPr>
              <w:br/>
              <w:t xml:space="preserve">复位功能：复位按键，复位初始参数</w:t>
            </w:r>
            <w:r>
              <w:rPr>
                <w:rFonts w:hint="eastAsia" w:ascii="宋体" w:hAnsi="宋体" w:cs="宋体"/>
                <w:sz w:val="18"/>
                <w:szCs w:val="18"/>
                <w:lang w:bidi="ar"/>
              </w:rPr>
              <w:br/>
              <w:t xml:space="preserve">实时远程监控太阳能电池情况，欠电时报警；可实时远程查看闸门开合度(阀门打开的高度)状况，异常报警；三种电机保护功能：两端机械限位、开合度反馈、内置运行保护时间，当触发任何一级保护时电机自动停机。</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限位器：高、低限位器，额定电流10A，触点数1NO+1NC，操作力200N，接线方式插入式。</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太阳能供电：包括电压为36V，优质铝合金为边框材质的单晶硅太阳能电池板、一体支架（控制器,电池置于支架内部），MPPT智能控制器(内置)，24V三元聚合物锂电池组,用于给设备供电的DC线。</w:t>
            </w:r>
            <w:r/>
          </w:p>
          <w:p>
            <w:pPr>
              <w:numPr>
                <w:ilvl w:val="0"/>
                <w:numId w:val="6"/>
              </w:num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水位传感器：0-3米0.03级超声波液位计，DC12V三线制，密封等级为IP68，检测介质为弱腐蚀性液体，支持485通讯，响应时间≤5mS。闸门配套专用水位传感器支架。</w:t>
            </w:r>
            <w:r/>
          </w:p>
          <w:p>
            <w:pPr>
              <w:numPr>
                <w:ilvl w:val="0"/>
                <w:numId w:val="6"/>
              </w:numPr>
              <w:jc w:val="left"/>
              <w:spacing w:line="220" w:lineRule="exact"/>
              <w:widowControl/>
              <w:rPr>
                <w:sz w:val="18"/>
                <w:szCs w:val="18"/>
              </w:rPr>
            </w:pPr>
            <w:r>
              <w:rPr>
                <w:rFonts w:hint="eastAsia" w:ascii="宋体" w:hAnsi="宋体" w:cs="宋体"/>
                <w:sz w:val="18"/>
                <w:szCs w:val="18"/>
                <w:lang w:bidi="ar"/>
              </w:rPr>
              <w:t xml:space="preserve">施工：含水泥预制、砂石、砖、管；每套40米渠道切割安装配套改造。</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20</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4258"/>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17</w:t>
            </w:r>
            <w:r/>
          </w:p>
        </w:tc>
        <w:tc>
          <w:tcPr>
            <w:shd w:val="clear" w:color="auto" w:fill="auto"/>
            <w:tcW w:w="340" w:type="pct"/>
            <w:vAlign w:val="center"/>
            <w:vMerge w:val="continue"/>
            <w:textDirection w:val="lrTb"/>
            <w:noWrap w:val="false"/>
          </w:tcPr>
          <w:p>
            <w:pPr>
              <w:jc w:val="center"/>
              <w:spacing w:line="220" w:lineRule="exact"/>
              <w:widowControl/>
              <w:rPr>
                <w:rFonts w:ascii="宋体" w:hAnsi="宋体" w:cs="宋体"/>
                <w:sz w:val="18"/>
                <w:szCs w:val="18"/>
              </w:rPr>
            </w:pPr>
            <w:r>
              <w:rPr>
                <w:rFonts w:ascii="宋体" w:hAnsi="宋体" w:cs="宋体"/>
                <w:sz w:val="18"/>
                <w:szCs w:val="18"/>
              </w:rPr>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泵站智能化改造</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加装泵站远程控制终端-多场景AI控制柜：</w:t>
            </w:r>
            <w:r>
              <w:rPr>
                <w:rFonts w:hint="eastAsia" w:ascii="宋体" w:hAnsi="宋体" w:cs="宋体"/>
                <w:sz w:val="18"/>
                <w:szCs w:val="18"/>
                <w:lang w:bidi="ar"/>
              </w:rPr>
              <w:br/>
              <w:t xml:space="preserve">远传通讯方式：4G；</w:t>
            </w:r>
            <w:r>
              <w:rPr>
                <w:rFonts w:hint="eastAsia" w:ascii="宋体" w:hAnsi="宋体" w:cs="宋体"/>
                <w:sz w:val="18"/>
                <w:szCs w:val="18"/>
                <w:lang w:bidi="ar"/>
              </w:rPr>
              <w:br/>
              <w:t xml:space="preserve">控制方式：现场手动控制、远程电脑或移动终端控制；</w:t>
            </w:r>
            <w:r>
              <w:rPr>
                <w:rFonts w:hint="eastAsia" w:ascii="宋体" w:hAnsi="宋体" w:cs="宋体"/>
                <w:sz w:val="18"/>
                <w:szCs w:val="18"/>
                <w:lang w:bidi="ar"/>
              </w:rPr>
              <w:br/>
              <w:t xml:space="preserve">控制回路：联机拓展；</w:t>
            </w:r>
            <w:r>
              <w:rPr>
                <w:rFonts w:hint="eastAsia" w:ascii="宋体" w:hAnsi="宋体" w:cs="宋体"/>
                <w:sz w:val="18"/>
                <w:szCs w:val="18"/>
                <w:lang w:bidi="ar"/>
              </w:rPr>
              <w:br/>
              <w:t xml:space="preserve">控制功能：可与485控制模块配套使用实现远距离控制，也可通过自身继电器与配套配电柜配合使用；</w:t>
            </w:r>
            <w:r>
              <w:rPr>
                <w:rFonts w:hint="eastAsia" w:ascii="宋体" w:hAnsi="宋体" w:cs="宋体"/>
                <w:sz w:val="18"/>
                <w:szCs w:val="18"/>
                <w:lang w:bidi="ar"/>
              </w:rPr>
              <w:br/>
              <w:t xml:space="preserve">防护措施：防反接保护。</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智能灌溉算法：</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1、土壤墒情阈值算法：设定不同生育期土壤湿度阈值，当传感器监测值低于下限，自动触发灌溉；达到上限则停止，适配水稻各阶段需水特性。</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2、作物系数 - 蒸发蒸腾量算法：结合水稻作物系数、气象数据（气温、风速等）计算蒸发蒸腾量，按 “需水量 = 蒸腾量 + 土壤补水” 公式确定灌溉量，实现按需供水。</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3、机器学习预测灌溉算法：用历史灌溉数据、生长状态和产量训练模型，预测最佳灌溉时间与水量，减少盲目灌溉。</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4、墒情 - 气象联动算法：综合土壤墒情与未来天气预报（如下雨则减少灌溉），动态调整灌溉计划，避免水资源浪费。</w:t>
            </w:r>
            <w:r/>
          </w:p>
          <w:p>
            <w:pPr>
              <w:jc w:val="left"/>
              <w:spacing w:line="220" w:lineRule="exact"/>
              <w:widowControl/>
              <w:rPr>
                <w:sz w:val="18"/>
                <w:szCs w:val="18"/>
              </w:rPr>
            </w:pPr>
            <w:r>
              <w:rPr>
                <w:rFonts w:hint="eastAsia" w:ascii="宋体" w:hAnsi="宋体" w:cs="宋体"/>
                <w:sz w:val="18"/>
                <w:szCs w:val="18"/>
                <w:lang w:bidi="ar"/>
              </w:rPr>
              <w:t xml:space="preserve">5、分区域差异化灌溉算法：通过传感器划分田间墒情区域，对干旱区优先灌溉、湿润区延迟，提高灌溉针对性。</w:t>
            </w:r>
            <w:r/>
          </w:p>
        </w:tc>
        <w:tc>
          <w:tcPr>
            <w:shd w:val="clear" w:color="auto" w:fill="auto"/>
            <w:tcW w:w="237"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196"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836"/>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18</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植物冠层分析仪</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植物冠层分析仪</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1、防水等级高：全铝合金，防水等级IP67。</w:t>
            </w:r>
            <w:r>
              <w:rPr>
                <w:rFonts w:hint="eastAsia" w:ascii="宋体" w:hAnsi="宋体" w:cs="宋体"/>
                <w:sz w:val="18"/>
                <w:szCs w:val="18"/>
                <w:lang w:bidi="ar"/>
              </w:rPr>
              <w:br/>
              <w:t xml:space="preserve">2、采用可见/近红外光反射光谱技术和多通道光谱信息扫描技术，可快速测定植被表面参数、植物冠层信息、植物养分信息、土壤养分信息、环境参数、植物病虫害程度等。</w:t>
            </w:r>
            <w:r>
              <w:rPr>
                <w:rFonts w:hint="eastAsia" w:ascii="宋体" w:hAnsi="宋体" w:cs="宋体"/>
                <w:sz w:val="18"/>
                <w:szCs w:val="18"/>
                <w:lang w:bidi="ar"/>
              </w:rPr>
              <w:br/>
              <w:t xml:space="preserve">3、软件分析功能多：可分析植被指数RVI、NDVI、作物叶层含氮量、氮积累量、叶面积指数、叶干重等。</w:t>
            </w:r>
            <w:r>
              <w:rPr>
                <w:rFonts w:hint="eastAsia" w:ascii="宋体" w:hAnsi="宋体" w:cs="宋体"/>
                <w:sz w:val="18"/>
                <w:szCs w:val="18"/>
                <w:lang w:bidi="ar"/>
              </w:rPr>
              <w:br/>
              <w:t xml:space="preserve">主机功能：</w:t>
            </w:r>
            <w:r>
              <w:rPr>
                <w:rFonts w:hint="eastAsia" w:ascii="宋体" w:hAnsi="宋体" w:cs="宋体"/>
                <w:sz w:val="18"/>
                <w:szCs w:val="18"/>
                <w:lang w:bidi="ar"/>
              </w:rPr>
              <w:br/>
              <w:t xml:space="preserve">1.带手机APP和仪器云平台。2.带GPS定位功能。3.带语音播报功能。</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998"/>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19</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无人机 </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田间调查</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1、一亿像素 4/3 CMOS 哈苏相机，6K/60fps HDR 视频</w:t>
            </w:r>
            <w:r/>
          </w:p>
          <w:p>
            <w:pPr>
              <w:jc w:val="left"/>
              <w:spacing w:line="220" w:lineRule="exact"/>
              <w:widowControl/>
              <w:rPr>
                <w:rFonts w:ascii="宋体" w:hAnsi="宋体" w:cs="宋体"/>
                <w:sz w:val="18"/>
                <w:szCs w:val="18"/>
              </w:rPr>
            </w:pPr>
            <w:r>
              <w:rPr>
                <w:rFonts w:hint="eastAsia" w:ascii="宋体" w:hAnsi="宋体" w:cs="宋体"/>
                <w:sz w:val="18"/>
                <w:szCs w:val="18"/>
              </w:rPr>
              <w:t xml:space="preserve">2、1/1.3 英寸与 1/1.5 英寸大底双长焦相机</w:t>
            </w:r>
            <w:r/>
          </w:p>
          <w:p>
            <w:pPr>
              <w:jc w:val="left"/>
              <w:spacing w:line="220" w:lineRule="exact"/>
              <w:widowControl/>
              <w:rPr>
                <w:rFonts w:ascii="宋体" w:hAnsi="宋体" w:cs="宋体"/>
                <w:sz w:val="18"/>
                <w:szCs w:val="18"/>
              </w:rPr>
            </w:pPr>
            <w:r>
              <w:rPr>
                <w:rFonts w:hint="eastAsia" w:ascii="宋体" w:hAnsi="宋体" w:cs="宋体"/>
                <w:sz w:val="18"/>
                <w:szCs w:val="18"/>
              </w:rPr>
              <w:t xml:space="preserve">3、360°旋转万象云台，运镜灵动自由</w:t>
            </w:r>
            <w:r/>
          </w:p>
          <w:p>
            <w:pPr>
              <w:jc w:val="left"/>
              <w:spacing w:line="220" w:lineRule="exact"/>
              <w:widowControl/>
              <w:rPr>
                <w:rFonts w:ascii="宋体" w:hAnsi="宋体" w:cs="宋体"/>
                <w:sz w:val="18"/>
                <w:szCs w:val="18"/>
              </w:rPr>
            </w:pPr>
            <w:r>
              <w:rPr>
                <w:rFonts w:hint="eastAsia" w:ascii="宋体" w:hAnsi="宋体" w:cs="宋体"/>
                <w:sz w:val="18"/>
                <w:szCs w:val="18"/>
              </w:rPr>
              <w:t xml:space="preserve">4、0.1 Lux 夜景级全向主动避障</w:t>
            </w:r>
            <w:r/>
          </w:p>
          <w:p>
            <w:pPr>
              <w:jc w:val="left"/>
              <w:spacing w:line="220" w:lineRule="exact"/>
              <w:widowControl/>
              <w:rPr>
                <w:rFonts w:ascii="宋体" w:hAnsi="宋体" w:cs="宋体"/>
                <w:sz w:val="18"/>
                <w:szCs w:val="18"/>
              </w:rPr>
            </w:pPr>
            <w:r>
              <w:rPr>
                <w:rFonts w:hint="eastAsia" w:ascii="宋体" w:hAnsi="宋体" w:cs="宋体"/>
                <w:sz w:val="18"/>
                <w:szCs w:val="18"/>
              </w:rPr>
              <w:t xml:space="preserve">5、51 分钟飞行时间</w:t>
            </w:r>
            <w:r/>
          </w:p>
          <w:p>
            <w:pPr>
              <w:jc w:val="left"/>
              <w:spacing w:line="220" w:lineRule="exact"/>
              <w:widowControl/>
              <w:rPr>
                <w:rFonts w:ascii="宋体" w:hAnsi="宋体" w:cs="宋体"/>
                <w:sz w:val="18"/>
                <w:szCs w:val="18"/>
              </w:rPr>
            </w:pPr>
            <w:r>
              <w:rPr>
                <w:rFonts w:hint="eastAsia" w:ascii="宋体" w:hAnsi="宋体" w:cs="宋体"/>
                <w:sz w:val="18"/>
                <w:szCs w:val="18"/>
              </w:rPr>
              <w:t xml:space="preserve">6、30 公里 10-bit HDR 图传</w:t>
            </w:r>
            <w:r/>
          </w:p>
          <w:p>
            <w:pPr>
              <w:pStyle w:val="737"/>
              <w:numPr>
                <w:ilvl w:val="0"/>
                <w:numId w:val="7"/>
              </w:numPr>
              <w:ind w:firstLine="0"/>
              <w:spacing w:line="220" w:lineRule="exact"/>
              <w:widowControl/>
              <w:rPr>
                <w:rFonts w:eastAsia="宋体" w:cs="宋体"/>
                <w:sz w:val="18"/>
                <w:szCs w:val="18"/>
              </w:rPr>
            </w:pPr>
            <w:r>
              <w:rPr>
                <w:rFonts w:hint="eastAsia" w:eastAsia="宋体" w:cs="宋体"/>
                <w:sz w:val="18"/>
                <w:szCs w:val="18"/>
              </w:rPr>
              <w:t xml:space="preserve">配备遥控器，额外含2块电池、充电管家、增强图传等配件。</w:t>
            </w:r>
            <w:r/>
          </w:p>
          <w:p>
            <w:pPr>
              <w:pStyle w:val="716"/>
              <w:spacing w:line="220" w:lineRule="exact"/>
              <w:widowControl/>
              <w:rPr>
                <w:rFonts w:ascii="宋体" w:hAnsi="宋体" w:eastAsia="宋体" w:cs="宋体"/>
                <w:color w:val="auto"/>
                <w:sz w:val="18"/>
                <w:szCs w:val="18"/>
              </w:rPr>
            </w:pPr>
            <w:r>
              <w:rPr>
                <w:rFonts w:hint="eastAsia" w:ascii="宋体" w:hAnsi="宋体" w:eastAsia="宋体" w:cs="宋体"/>
                <w:color w:val="auto"/>
                <w:sz w:val="18"/>
                <w:szCs w:val="18"/>
              </w:rPr>
              <w:t xml:space="preserve">8、无人机设备包含3年保险。</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3106"/>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20</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农产品快检设备</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食品安全检测仪（含试剂）及操作台</w:t>
            </w:r>
            <w:r/>
          </w:p>
        </w:tc>
        <w:tc>
          <w:tcPr>
            <w:shd w:val="clear" w:color="auto" w:fill="auto"/>
            <w:tcW w:w="3223" w:type="pct"/>
            <w:vAlign w:val="center"/>
            <w:textDirection w:val="lrTb"/>
            <w:noWrap w:val="false"/>
          </w:tcPr>
          <w:p>
            <w:pPr>
              <w:numPr>
                <w:ilvl w:val="0"/>
                <w:numId w:val="8"/>
              </w:numPr>
              <w:jc w:val="left"/>
              <w:spacing w:line="220" w:lineRule="exact"/>
              <w:widowControl/>
              <w:rPr>
                <w:rFonts w:ascii="宋体" w:hAnsi="宋体" w:cs="宋体"/>
                <w:sz w:val="18"/>
                <w:szCs w:val="18"/>
              </w:rPr>
            </w:pPr>
            <w:r>
              <w:rPr>
                <w:rFonts w:hint="eastAsia" w:ascii="宋体" w:hAnsi="宋体" w:cs="宋体"/>
                <w:sz w:val="18"/>
                <w:szCs w:val="18"/>
              </w:rPr>
              <w:t xml:space="preserve">设备参数：波长配置：410nm；抑制率显示范围：0%～100%；抑制率测量范围：0%～100%；透射比准确度：±1.5%；透射比重复性：≤0.5%；漂移：≤0.005Abs/3min；抑制率示值误差：≤10%；抑制率重复性：≤5%</w:t>
            </w:r>
            <w:r>
              <w:rPr>
                <w:rFonts w:hint="eastAsia" w:ascii="宋体" w:hAnsi="宋体" w:cs="宋体"/>
                <w:sz w:val="18"/>
                <w:szCs w:val="18"/>
              </w:rPr>
              <w:br/>
              <w:t xml:space="preserve">2、安卓智能操作系统，仪器具有无线联网上传功能，进行数据统计和分析。</w:t>
            </w:r>
            <w:r>
              <w:rPr>
                <w:rFonts w:hint="eastAsia" w:ascii="宋体" w:hAnsi="宋体" w:cs="宋体"/>
                <w:sz w:val="18"/>
                <w:szCs w:val="18"/>
              </w:rPr>
              <w:br/>
              <w:t xml:space="preserve">3、仪器具有自检功能：具有开机自检和调零功能，具有自动检测重复性功能；同时，检测完成可自动打印检测报告和二维码。手机扫码可显示出详细检测信息。</w:t>
            </w:r>
            <w:r>
              <w:rPr>
                <w:rFonts w:hint="eastAsia" w:ascii="宋体" w:hAnsi="宋体" w:cs="宋体"/>
                <w:sz w:val="18"/>
                <w:szCs w:val="18"/>
              </w:rPr>
              <w:br/>
              <w:t xml:space="preserve">4、仪器带有监管平台，数据可局域网和互联网数据上传，检测结果直接传至食品安全监管平台。进行区域食品安全监管及大数据分析处理与数据统计，检测区域食品安全长短期动态，达到食品安全问题预估、预警。</w:t>
            </w:r>
            <w:r/>
          </w:p>
          <w:p>
            <w:pPr>
              <w:jc w:val="left"/>
              <w:spacing w:line="220" w:lineRule="exact"/>
              <w:widowControl/>
              <w:rPr>
                <w:rFonts w:ascii="宋体" w:hAnsi="宋体" w:cs="宋体"/>
                <w:sz w:val="18"/>
                <w:szCs w:val="18"/>
              </w:rPr>
            </w:pPr>
            <w:r>
              <w:rPr>
                <w:rFonts w:hint="eastAsia" w:ascii="宋体" w:hAnsi="宋体" w:cs="宋体"/>
                <w:sz w:val="18"/>
                <w:szCs w:val="18"/>
              </w:rPr>
              <w:t xml:space="preserve">5、检测卡：黄曲霉素胶体金检测卡100个、呕吐物质胶体金检测卡100个、有机磷类其他农药残留胶体金检测卡300个。</w:t>
            </w:r>
            <w:r/>
          </w:p>
          <w:p>
            <w:pPr>
              <w:jc w:val="left"/>
              <w:spacing w:line="220" w:lineRule="exact"/>
              <w:widowControl/>
              <w:rPr>
                <w:sz w:val="18"/>
                <w:szCs w:val="18"/>
              </w:rPr>
            </w:pPr>
            <w:r>
              <w:rPr>
                <w:rFonts w:hint="eastAsia" w:ascii="宋体" w:hAnsi="宋体" w:cs="宋体"/>
                <w:sz w:val="18"/>
                <w:szCs w:val="18"/>
                <w:lang w:bidi="ar"/>
              </w:rPr>
              <w:t xml:space="preserve">6、1-2米实验操作台，带实验室水龙头，水电配备到位；试剂柜。</w:t>
            </w:r>
            <w:r/>
          </w:p>
        </w:tc>
        <w:tc>
          <w:tcPr>
            <w:shd w:val="clear" w:color="auto" w:fill="auto"/>
            <w:tcW w:w="237"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514"/>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21</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设备基础平台</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基础</w:t>
            </w:r>
            <w:r/>
          </w:p>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平台</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新建设备操作平台≥15m²（按设备现场具体情况确定），尺寸：3m*5m，平台为塑木地基，塑木板材2.3厚。</w:t>
            </w:r>
            <w:r>
              <w:rPr>
                <w:rFonts w:hint="eastAsia" w:ascii="宋体" w:hAnsi="宋体" w:cs="宋体"/>
                <w:sz w:val="18"/>
                <w:szCs w:val="18"/>
                <w:lang w:bidi="ar"/>
              </w:rPr>
              <w:br/>
              <w:t xml:space="preserve">新建围栏16m，围栏采用公园塑木架式，高出平台1.2m。</w:t>
            </w:r>
            <w:r>
              <w:rPr>
                <w:rFonts w:hint="eastAsia" w:ascii="宋体" w:hAnsi="宋体" w:cs="宋体"/>
                <w:sz w:val="18"/>
                <w:szCs w:val="18"/>
                <w:lang w:bidi="ar"/>
              </w:rPr>
              <w:br/>
              <w:t xml:space="preserve">围栏上开设1套1米宽人行门，材质及样式同围栏。</w:t>
            </w:r>
            <w:r/>
          </w:p>
          <w:p>
            <w:pPr>
              <w:spacing w:line="220" w:lineRule="exact"/>
              <w:widowControl/>
              <w:rPr>
                <w:sz w:val="18"/>
                <w:szCs w:val="18"/>
              </w:rPr>
            </w:pPr>
            <w:r>
              <w:rPr>
                <w:rFonts w:hint="eastAsia" w:ascii="宋体" w:hAnsi="宋体" w:cs="宋体"/>
                <w:sz w:val="18"/>
                <w:szCs w:val="18"/>
                <w:lang w:bidi="ar"/>
              </w:rPr>
              <w:t xml:space="preserve">人行栈道新建1.5米长（结合现场设备部署确定）塑木栈道，方便人员进出，塑木板材2.3厚；尺寸：1.5m*1m。</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5</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042"/>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22</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系统对接及单点登入</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系统</w:t>
            </w:r>
            <w:r/>
          </w:p>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对接及单点登入</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1、支持其他系统纳入统一身份认证，实现单点登录。</w:t>
            </w:r>
            <w:r/>
          </w:p>
          <w:p>
            <w:pPr>
              <w:jc w:val="left"/>
              <w:spacing w:line="220" w:lineRule="exact"/>
              <w:widowControl/>
              <w:rPr>
                <w:rFonts w:ascii="宋体" w:hAnsi="宋体" w:cs="宋体"/>
                <w:sz w:val="18"/>
                <w:szCs w:val="18"/>
              </w:rPr>
            </w:pPr>
            <w:r>
              <w:rPr>
                <w:rFonts w:hint="eastAsia" w:ascii="宋体" w:hAnsi="宋体" w:cs="宋体"/>
                <w:sz w:val="18"/>
                <w:szCs w:val="18"/>
                <w:lang w:bidi="ar"/>
              </w:rPr>
              <w:t xml:space="preserve">2、所有监测数据要能够上传苏农云及采购人指定的相关系统，</w:t>
            </w:r>
            <w:r>
              <w:rPr>
                <w:rFonts w:hint="eastAsia" w:ascii="宋体" w:hAnsi="宋体" w:cs="宋体"/>
                <w:b/>
                <w:bCs/>
                <w:sz w:val="18"/>
                <w:szCs w:val="18"/>
                <w:lang w:bidi="ar"/>
              </w:rPr>
              <w:t xml:space="preserve">提供承诺函并加盖投标人公章。</w:t>
            </w:r>
            <w:r/>
          </w:p>
        </w:tc>
        <w:tc>
          <w:tcPr>
            <w:shd w:val="clear" w:color="auto" w:fill="auto"/>
            <w:tcW w:w="237" w:type="pct"/>
            <w:vAlign w:val="center"/>
            <w:textDirection w:val="lrTb"/>
            <w:noWrap/>
          </w:tcPr>
          <w:p>
            <w:pPr>
              <w:ind w:firstLine="90"/>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1113"/>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23</w:t>
            </w:r>
            <w:r/>
          </w:p>
        </w:tc>
        <w:tc>
          <w:tcPr>
            <w:shd w:val="clear" w:color="auto" w:fill="auto"/>
            <w:tcW w:w="340"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植保无人机</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植保无人机（含播撒）</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最大起飞重量（最大喷洒起飞重量：126 kg，标配2喷头+ 70L作业箱）；最大轴距：2440 mm；可设置最大飞行半径：2km；最大可承受风速：三级风（&lt;6 m/s)；电机 KV 值：6565 (r/min)/V；作业载荷：70 KG；作业箱容积：70 L；播撒作业箱容积：100 L；最大排料量：400 kg/min（复合肥）；播撒作业箱内部最大载重：70kg；测距范围：60m。</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792"/>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24</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辅助驾驶装置</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辅助驾驶装置</w:t>
            </w:r>
            <w:r/>
          </w:p>
        </w:tc>
        <w:tc>
          <w:tcPr>
            <w:shd w:val="clear" w:color="auto" w:fill="auto"/>
            <w:tcW w:w="3223" w:type="pct"/>
            <w:vAlign w:val="center"/>
            <w:textDirection w:val="lrTb"/>
            <w:noWrap w:val="false"/>
          </w:tcPr>
          <w:p>
            <w:pPr>
              <w:spacing w:line="220" w:lineRule="exact"/>
              <w:widowControl/>
              <w:rPr>
                <w:rFonts w:ascii="宋体" w:hAnsi="宋体" w:cs="宋体"/>
                <w:sz w:val="18"/>
                <w:szCs w:val="18"/>
              </w:rPr>
            </w:pPr>
            <w:r>
              <w:rPr>
                <w:rFonts w:hint="eastAsia" w:ascii="宋体" w:hAnsi="宋体" w:cs="宋体"/>
                <w:sz w:val="18"/>
                <w:szCs w:val="18"/>
              </w:rPr>
              <w:t xml:space="preserve">农机自动驾驶系统以北斗定位系统为核心技术支撑，可实现高精度定位与自动化作业控制，显著提升农机作业效率与精度，降低人工操作强度。</w:t>
            </w:r>
            <w:r/>
          </w:p>
        </w:tc>
        <w:tc>
          <w:tcPr>
            <w:shd w:val="clear" w:color="auto" w:fill="auto"/>
            <w:tcW w:w="237" w:type="pct"/>
            <w:vAlign w:val="center"/>
            <w:textDirection w:val="lrTb"/>
            <w:noWrap/>
          </w:tcPr>
          <w:p>
            <w:pPr>
              <w:jc w:val="center"/>
              <w:spacing w:line="220" w:lineRule="exact"/>
              <w:widowControl/>
              <w:rPr>
                <w:rFonts w:ascii="宋体" w:hAnsi="宋体" w:cs="宋体"/>
                <w:color w:val="ff0000"/>
                <w:sz w:val="18"/>
                <w:szCs w:val="18"/>
              </w:rPr>
            </w:pPr>
            <w:r>
              <w:rPr>
                <w:rFonts w:hint="eastAsia" w:ascii="宋体" w:hAnsi="宋体" w:cs="宋体"/>
                <w:sz w:val="18"/>
                <w:szCs w:val="18"/>
              </w:rPr>
              <w:t xml:space="preserve">3</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563"/>
        </w:trPr>
        <w:tc>
          <w:tcPr>
            <w:shd w:val="clear" w:color="auto" w:fill="auto"/>
            <w:tcW w:w="293"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rPr>
              <w:t xml:space="preserve">25</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项目施工</w:t>
            </w:r>
            <w:r/>
          </w:p>
        </w:tc>
        <w:tc>
          <w:tcPr>
            <w:shd w:val="clear" w:color="auto" w:fill="auto"/>
            <w:tcW w:w="315"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rPr>
              <w:t xml:space="preserve">项目</w:t>
            </w:r>
            <w:r/>
          </w:p>
          <w:p>
            <w:pPr>
              <w:jc w:val="center"/>
              <w:spacing w:line="220" w:lineRule="exact"/>
              <w:widowControl/>
              <w:rPr>
                <w:rFonts w:ascii="宋体" w:hAnsi="宋体" w:cs="宋体"/>
                <w:sz w:val="18"/>
                <w:szCs w:val="18"/>
              </w:rPr>
            </w:pPr>
            <w:r>
              <w:rPr>
                <w:rFonts w:hint="eastAsia" w:ascii="宋体" w:hAnsi="宋体" w:cs="宋体"/>
                <w:sz w:val="18"/>
                <w:szCs w:val="18"/>
              </w:rPr>
              <w:t xml:space="preserve">施工</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rPr>
            </w:pPr>
            <w:r>
              <w:rPr>
                <w:rFonts w:hint="eastAsia" w:ascii="宋体" w:hAnsi="宋体" w:cs="宋体"/>
                <w:sz w:val="18"/>
                <w:szCs w:val="18"/>
              </w:rPr>
              <w:t xml:space="preserve">1.示范种植区设备安装普通工费；</w:t>
            </w:r>
            <w:r/>
          </w:p>
          <w:p>
            <w:pPr>
              <w:jc w:val="left"/>
              <w:spacing w:line="220" w:lineRule="exact"/>
              <w:widowControl/>
              <w:rPr>
                <w:rFonts w:ascii="宋体" w:hAnsi="宋体" w:cs="宋体"/>
                <w:sz w:val="18"/>
                <w:szCs w:val="18"/>
              </w:rPr>
            </w:pPr>
            <w:r>
              <w:rPr>
                <w:rFonts w:hint="eastAsia" w:ascii="宋体" w:hAnsi="宋体" w:cs="宋体"/>
                <w:sz w:val="18"/>
                <w:szCs w:val="18"/>
              </w:rPr>
              <w:t xml:space="preserve">2.项目弱电施工，包括综合布线、监控系统、弱电系统集成等。</w:t>
            </w:r>
            <w:r/>
          </w:p>
        </w:tc>
        <w:tc>
          <w:tcPr>
            <w:shd w:val="clear" w:color="auto" w:fill="auto"/>
            <w:tcW w:w="237"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项</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ascii="宋体" w:hAnsi="宋体" w:cs="宋体"/>
                <w:color w:val="000000" w:themeColor="text1"/>
                <w:sz w:val="18"/>
                <w:szCs w:val="18"/>
              </w:rPr>
            </w:r>
            <w:r/>
          </w:p>
        </w:tc>
      </w:tr>
      <w:tr>
        <w:trPr>
          <w:trHeight w:val="814"/>
        </w:trPr>
        <w:tc>
          <w:tcPr>
            <w:shd w:val="clear" w:color="auto" w:fill="auto"/>
            <w:tcW w:w="293" w:type="pct"/>
            <w:vAlign w:val="center"/>
            <w:textDirection w:val="lrTb"/>
            <w:noWrap/>
          </w:tcPr>
          <w:p>
            <w:pPr>
              <w:jc w:val="center"/>
              <w:spacing w:line="220" w:lineRule="exact"/>
              <w:widowControl/>
              <w:rPr>
                <w:rFonts w:ascii="宋体" w:hAnsi="宋体" w:cs="宋体"/>
                <w:sz w:val="18"/>
                <w:szCs w:val="18"/>
                <w:lang w:bidi="ar"/>
              </w:rPr>
            </w:pPr>
            <w:r>
              <w:rPr>
                <w:rFonts w:hint="eastAsia" w:ascii="宋体" w:hAnsi="宋体" w:cs="宋体"/>
                <w:sz w:val="18"/>
                <w:szCs w:val="18"/>
                <w:lang w:bidi="ar"/>
              </w:rPr>
              <w:t xml:space="preserve">26</w:t>
            </w:r>
            <w:r/>
          </w:p>
        </w:tc>
        <w:tc>
          <w:tcPr>
            <w:shd w:val="clear" w:color="auto" w:fill="auto"/>
            <w:tcW w:w="340" w:type="pct"/>
            <w:vAlign w:val="center"/>
            <w:textDirection w:val="lrTb"/>
            <w:noWrap w:val="false"/>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害虫性诱智能测报仪（核心产品）</w:t>
            </w:r>
            <w:r/>
          </w:p>
        </w:tc>
        <w:tc>
          <w:tcPr>
            <w:shd w:val="clear" w:color="auto" w:fill="auto"/>
            <w:tcW w:w="315" w:type="pct"/>
            <w:vAlign w:val="center"/>
            <w:textDirection w:val="lrTb"/>
            <w:noWrap/>
          </w:tcPr>
          <w:p>
            <w:pPr>
              <w:jc w:val="center"/>
              <w:spacing w:line="220" w:lineRule="exact"/>
              <w:widowControl/>
              <w:rPr>
                <w:rFonts w:ascii="宋体" w:hAnsi="宋体" w:cs="宋体"/>
                <w:sz w:val="18"/>
                <w:szCs w:val="18"/>
              </w:rPr>
            </w:pPr>
            <w:r>
              <w:rPr>
                <w:rFonts w:hint="eastAsia" w:ascii="宋体" w:hAnsi="宋体" w:cs="宋体"/>
                <w:sz w:val="18"/>
                <w:szCs w:val="18"/>
                <w:lang w:bidi="ar"/>
              </w:rPr>
              <w:t xml:space="preserve">害虫性诱智能测报仪</w:t>
            </w:r>
            <w:r/>
          </w:p>
        </w:tc>
        <w:tc>
          <w:tcPr>
            <w:shd w:val="clear" w:color="auto" w:fill="auto"/>
            <w:tcW w:w="3223" w:type="pct"/>
            <w:vAlign w:val="center"/>
            <w:textDirection w:val="lrTb"/>
            <w:noWrap w:val="false"/>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▲1、设备符合《GB/T24689.1-2009植物保护机械 虫情测报灯》国家标准。（提供具有相关检测资质的国家权威机构出具的检测报告原件扫描件）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▲2、设备运行功率≤1W，待机功率≤0.5W。（提供具有相关检测资质的国家权威机构出具的检测报告原件扫描件）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3、设备应能识别包括但不限于稻纵卷叶螟、玉米螟、二化螟、大螟、斜纹夜蛾、甜菜夜蛾、草地贪夜蛾、粘虫、棉铃虫等主要害虫。设备实时监测数据可对接到电脑端数据分析平台。</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4、害虫诱捕装置：诱捕器为PC材质，结构为反向三漏斗飞蛾类诱捕器。增加反向三漏斗蛾子防逃逸结构，整体横切面为梨形，纵切面似椅子形设计，增加害虫诱捕量。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电脑端数据分析平台具有，设备统计预览、设备分布、害虫预警设置、害虫监测、害虫趋势分析、多年同比分析等功能；能按害虫类别，地理区域筛选统计累计总数、平均数的趋势图。（提供软件平台应用截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5.1、数据查询与分析：可查看、分析和统计各时间段的诱虫量；支持按地区、害虫类别筛选、统计累计总数、平均数趋势图及占比图；基于地理信息的害虫发生预警地图，实时展示各地区害虫发生程度，支持颜色分级标识；支持手动导出下载EXCEL数据表格和PNG格式趋势图。（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▲5.2、多维数据对比：支持不同诱捕器、不同区域、自定义分组及历史同期数据的对比分析。（提供具有相关检测资质的国家权威机构出具的检测报告原件扫描件）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5.3、卵、幼虫各龄期的短期预测：在全省、全市或自定义区域，依据未来15天气象数据的平均值和昆虫发育之间的关系，建立数学模型，预测下一代卵、幼虫各龄期的发生动态，并生成趋势图。（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5.4、田间成虫量的预测：基于该设备诱捕的雄成虫数量数据以及性比，基于数学算法模型，自动推算、预测田间实际的成虫总数量及相应的雌成虫数量。（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▲5.5、灯诱数据换算：基于数学算法模型，提供性诱数据与传统测报灯的灯下诱虫量换算功能。（提供具有相关检测资质的国家权威机构出具的检测报告原件扫描件）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5.6、成虫发生量的中、长期预测：基于3年以上历史虫情数据、温度数据和当前虫量数据进行大数据分析，构建数学算法模型，预测未来2个月成虫发生趋势。预测模型具备自我学习功能，能够随着数据量的增大自主训练更新。（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▲5.7、自动生产植保虫情分析报告：支持客户自定义病虫情报模版，可生成并导出性诱虫情分析报告。（提供具有相关检测资质的国家权威机构出具的检测报告原件扫描件）</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6、APP可查看时间段、每月、单日、每小时诱虫量数据。</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▲7、设备可通过手机APP查看实时数据、历史数据。（以下手机APP功能均需提供软件平台截图）</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7.1、APP支持Harmony鸿蒙、iOS苹果和Android安卓系统。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7.2、APP支持卵、幼虫各龄期的短期预测：依据未来15天气象数据的平均值和昆虫发育之间的关系，建立数学模型，预测下一代卵和幼虫各龄期的发生动态，并指导释放天敌和施药。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7.3、支持田间成虫量的预测：基于该设备诱捕的雄成虫数量数据以及性比，自动推算、预测田间实际的成虫总数量及相应的雌成虫数量。</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7.4、具有灯诱数据换算：基于数学算法模型，提供性诱与传统测报灯（灯下诱虫量）的换算功能。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8、设备可查看预测未来2个月次代诱虫量，及发生动态，包括卵期、一二低龄龄幼虫期。</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9、设备具有定位及导航、诱芯到期提醒等功能。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10、双计数系统：上下集虫器各带一个三层4对红外计数装置，自动计数进入集虫器的昆虫，计算总数后上传到服务器数据库。</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11、自动计数功能：害虫经过红外感应器时，自动计数+1，间隔时间＜1S。</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▲12、设备自动计数准确度不低于95%。（提供省级（含）以上农林业部门出具的应用证明或试验报告佐证）</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13、终端储存发送功能：实时记录和存储诱捕器监测数据，储存时间≥12月。定时定向发送监测数据，同时具有自检、纠错功能。</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14、网关数据接收功能：1小时/次接收终端数据，并通过无线网络发送到服务器。</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15、网关和终端配置：一个网关可以配置多个终端。</w:t>
            </w:r>
            <w:r/>
          </w:p>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16、设备采用太阳能板供电，单晶硅材质；功率：≥55W，可在-40°C-80°C气温下工作。蓄电池为锂电池，规格：12V,≥60Ah。连续阴雨天，设备正常运行不低于20天。设备立杆材质为喷塑铝管，整体高度不低于300CM，配防电机箱，材质 304不锈钢材质，外标防电标识，具防尘、防水功能。</w:t>
            </w:r>
            <w:r/>
          </w:p>
        </w:tc>
        <w:tc>
          <w:tcPr>
            <w:shd w:val="clear" w:color="auto" w:fill="auto"/>
            <w:tcW w:w="237" w:type="pct"/>
            <w:vAlign w:val="center"/>
            <w:textDirection w:val="lrTb"/>
            <w:noWrap w:val="false"/>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12</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c>
          <w:tcPr>
            <w:shd w:val="clear" w:color="auto" w:fill="auto"/>
            <w:tcW w:w="196" w:type="pct"/>
            <w:vAlign w:val="center"/>
            <w:textDirection w:val="lrTb"/>
            <w:noWrap/>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r>
        <w:trPr>
          <w:trHeight w:val="814"/>
        </w:trPr>
        <w:tc>
          <w:tcPr>
            <w:gridSpan w:val="4"/>
            <w:shd w:val="clear" w:color="auto" w:fill="auto"/>
            <w:tcW w:w="4172" w:type="pct"/>
            <w:vAlign w:val="center"/>
            <w:textDirection w:val="lrTb"/>
            <w:noWrap/>
          </w:tcPr>
          <w:p>
            <w:pPr>
              <w:jc w:val="left"/>
              <w:spacing w:line="220" w:lineRule="exact"/>
              <w:widowControl/>
              <w:rPr>
                <w:rFonts w:ascii="宋体" w:hAnsi="宋体" w:cs="宋体"/>
                <w:sz w:val="18"/>
                <w:szCs w:val="18"/>
                <w:lang w:bidi="ar"/>
              </w:rPr>
            </w:pPr>
            <w:r>
              <w:rPr>
                <w:rFonts w:hint="eastAsia" w:ascii="宋体" w:hAnsi="宋体" w:cs="宋体"/>
                <w:sz w:val="18"/>
                <w:szCs w:val="18"/>
                <w:lang w:bidi="ar"/>
              </w:rPr>
              <w:t xml:space="preserve">合计（元）</w:t>
            </w:r>
            <w:r/>
          </w:p>
        </w:tc>
        <w:tc>
          <w:tcPr>
            <w:gridSpan w:val="4"/>
            <w:shd w:val="clear" w:color="auto" w:fill="auto"/>
            <w:tcW w:w="827" w:type="pct"/>
            <w:vAlign w:val="center"/>
            <w:textDirection w:val="lrTb"/>
            <w:noWrap w:val="false"/>
          </w:tcPr>
          <w:p>
            <w:pPr>
              <w:jc w:val="center"/>
              <w:spacing w:line="220" w:lineRule="exact"/>
              <w:widowControl/>
              <w:rPr>
                <w:rFonts w:ascii="宋体" w:hAnsi="宋体" w:cs="宋体"/>
                <w:color w:val="000000" w:themeColor="text1"/>
                <w:sz w:val="18"/>
                <w:szCs w:val="18"/>
                <w:lang w:bidi="ar"/>
              </w:rPr>
            </w:pPr>
            <w:r>
              <w:rPr>
                <w:rFonts w:ascii="宋体" w:hAnsi="宋体" w:cs="宋体"/>
                <w:color w:val="000000" w:themeColor="text1"/>
                <w:sz w:val="18"/>
                <w:szCs w:val="18"/>
                <w:lang w:bidi="ar"/>
              </w:rPr>
            </w:r>
            <w:r/>
          </w:p>
        </w:tc>
      </w:tr>
    </w:tbl>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bCs/>
        </w:rPr>
      </w:pPr>
      <w:r>
        <w:rPr>
          <w:rFonts w:ascii="宋体" w:hAnsi="宋体"/>
          <w:bCs/>
        </w:rPr>
      </w:r>
      <w:r/>
    </w:p>
    <w:p>
      <w:pPr>
        <w:jc w:val="center"/>
        <w:rPr>
          <w:rFonts w:ascii="宋体" w:hAnsi="宋体"/>
          <w:bCs/>
        </w:rPr>
      </w:pPr>
      <w:r>
        <w:rPr>
          <w:rFonts w:ascii="宋体" w:hAnsi="宋体"/>
          <w:bCs/>
        </w:rPr>
      </w:r>
      <w:r/>
    </w:p>
    <w:p>
      <w:pPr>
        <w:jc w:val="left"/>
        <w:rPr>
          <w:rFonts w:ascii="宋体" w:hAnsi="宋体"/>
          <w:bCs/>
        </w:rPr>
      </w:pPr>
      <w:r>
        <w:rPr>
          <w:rFonts w:hint="eastAsia" w:ascii="宋体" w:hAnsi="宋体"/>
          <w:bCs/>
        </w:rPr>
        <w:t xml:space="preserve">分析说明（格式自拟）</w:t>
      </w:r>
      <w:r/>
    </w:p>
    <w:p>
      <w:pPr>
        <w:jc w:val="center"/>
        <w:rPr>
          <w:rFonts w:ascii="宋体" w:hAnsi="宋体"/>
          <w:bCs/>
        </w:rPr>
      </w:pPr>
      <w:r>
        <w:rPr>
          <w:rFonts w:ascii="宋体" w:hAnsi="宋体"/>
          <w:bCs/>
        </w:rPr>
      </w:r>
      <w:r/>
    </w:p>
    <w:p>
      <w:pPr>
        <w:pStyle w:val="71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716"/>
      </w:pPr>
      <w:r/>
      <w:r/>
    </w:p>
    <w:p>
      <w:pPr>
        <w:ind w:firstLine="3360"/>
        <w:spacing w:before="166" w:line="500" w:lineRule="exact"/>
        <w:rPr>
          <w:rFonts w:asciiTheme="minorEastAsia" w:hAnsiTheme="minorEastAsia" w:eastAsiaTheme="minorEastAsia"/>
        </w:rPr>
      </w:pPr>
      <w:r>
        <w:rPr>
          <w:rFonts w:asciiTheme="minorEastAsia" w:hAnsiTheme="minorEastAsia" w:eastAsiaTheme="minorEastAsia"/>
        </w:rPr>
        <w:t xml:space="preserve">投标人名称(盖法人章)：</w:t>
      </w:r>
      <w:r/>
    </w:p>
    <w:p>
      <w:pPr>
        <w:ind w:firstLine="3360"/>
        <w:spacing w:before="166" w:line="500" w:lineRule="exact"/>
        <w:rPr>
          <w:rFonts w:asciiTheme="minorEastAsia" w:hAnsiTheme="minorEastAsia" w:eastAsiaTheme="minorEastAsia"/>
          <w:u w:val="single"/>
        </w:rPr>
      </w:pPr>
      <w:r>
        <w:rPr>
          <w:rFonts w:hint="eastAsia" w:asciiTheme="minorEastAsia" w:hAnsiTheme="minorEastAsia" w:eastAsiaTheme="minorEastAsia"/>
        </w:rPr>
        <w:t xml:space="preserve">法定代表人</w:t>
      </w:r>
      <w:r>
        <w:rPr>
          <w:rFonts w:asciiTheme="minorEastAsia" w:hAnsiTheme="minorEastAsia" w:eastAsiaTheme="minorEastAsia"/>
        </w:rPr>
        <w:t xml:space="preserve"> (</w:t>
      </w:r>
      <w:r>
        <w:rPr>
          <w:rFonts w:hint="eastAsia" w:asciiTheme="minorEastAsia" w:hAnsiTheme="minorEastAsia" w:eastAsiaTheme="minorEastAsia"/>
        </w:rPr>
        <w:t xml:space="preserve">签字或签章</w:t>
      </w:r>
      <w:r>
        <w:rPr>
          <w:rFonts w:asciiTheme="minorEastAsia" w:hAnsiTheme="minorEastAsia" w:eastAsiaTheme="minorEastAsia"/>
        </w:rPr>
        <w:t xml:space="preserve">)</w:t>
      </w:r>
      <w:r>
        <w:rPr>
          <w:rFonts w:hint="eastAsia" w:asciiTheme="minorEastAsia" w:hAnsiTheme="minorEastAsia" w:eastAsiaTheme="minorEastAsia"/>
        </w:rPr>
        <w:t xml:space="preserve">：</w:t>
      </w:r>
      <w:r/>
    </w:p>
    <w:p>
      <w:pPr>
        <w:ind w:firstLine="3360"/>
        <w:spacing w:before="166" w:line="500" w:lineRule="exact"/>
        <w:rPr>
          <w:rFonts w:asciiTheme="minorEastAsia" w:hAnsiTheme="minorEastAsia" w:eastAsiaTheme="minorEastAsia"/>
        </w:rPr>
      </w:pPr>
      <w:r>
        <w:rPr>
          <w:rFonts w:hint="eastAsia" w:asciiTheme="minorEastAsia" w:hAnsiTheme="minorEastAsia" w:eastAsiaTheme="minorEastAsia"/>
        </w:rPr>
        <w:t xml:space="preserve">日期：   年  月   日</w:t>
      </w:r>
      <w:bookmarkEnd w:id="358"/>
      <w:r/>
      <w:bookmarkEnd w:id="359"/>
      <w:r/>
      <w:r/>
    </w:p>
    <w:p>
      <w:pPr>
        <w:pStyle w:val="71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71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71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71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71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71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rPr>
          <w:rFonts w:asciiTheme="minorEastAsia" w:hAnsiTheme="minorEastAsia" w:eastAsiaTheme="minorEastAsia"/>
        </w:rPr>
      </w:pPr>
      <w:r>
        <w:rPr>
          <w:rFonts w:asciiTheme="minorEastAsia" w:hAnsiTheme="minorEastAsia" w:eastAsiaTheme="minorEastAsia"/>
        </w:rPr>
      </w:r>
      <w:r/>
    </w:p>
    <w:p>
      <w:pPr>
        <w:pStyle w:val="716"/>
        <w:rPr>
          <w:rFonts w:asciiTheme="minorEastAsia" w:hAnsiTheme="minorEastAsia" w:eastAsiaTheme="minorEastAsia"/>
        </w:rPr>
      </w:pPr>
      <w:r>
        <w:rPr>
          <w:rFonts w:asciiTheme="minorEastAsia" w:hAnsiTheme="minorEastAsia" w:eastAsiaTheme="minorEastAsia"/>
        </w:rPr>
      </w:r>
      <w:r/>
    </w:p>
    <w:p>
      <w:r/>
      <w:bookmarkEnd w:id="360"/>
      <w:bookmarkEnd w:id="361"/>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3.5投标人资格条件证明文件</w:t>
      </w:r>
      <w:r/>
    </w:p>
    <w:p>
      <w:pPr>
        <w:pStyle w:val="719"/>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（1）投标人基本资格条件承诺函</w:t>
      </w:r>
      <w:r/>
    </w:p>
    <w:p>
      <w:pPr>
        <w:pStyle w:val="719"/>
        <w:jc w:val="center"/>
        <w:spacing w:line="500" w:lineRule="exact"/>
        <w:rPr>
          <w:rFonts w:cs="宋体" w:asciiTheme="minorEastAsia" w:hAnsiTheme="minorEastAsia" w:eastAsiaTheme="minorEastAsia"/>
          <w:b/>
          <w:sz w:val="28"/>
          <w:szCs w:val="28"/>
        </w:rPr>
      </w:pPr>
      <w:r/>
      <w:bookmarkStart w:id="362" w:name="OLE_LINK84"/>
      <w:r/>
      <w:bookmarkStart w:id="363" w:name="OLE_LINK87"/>
      <w:r/>
      <w:bookmarkStart w:id="364" w:name="OLE_LINK86"/>
      <w:r>
        <w:rPr>
          <w:rFonts w:hint="eastAsia" w:cs="宋体" w:asciiTheme="minorEastAsia" w:hAnsiTheme="minorEastAsia" w:eastAsiaTheme="minorEastAsia"/>
          <w:b/>
          <w:sz w:val="28"/>
          <w:szCs w:val="28"/>
        </w:rPr>
        <w:t xml:space="preserve">投标人基本资格条件承诺函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一、按照《政府采购法》第二十二条规定的投标人基本资格条件，我公司郑重承诺如下：</w:t>
      </w:r>
      <w:r/>
    </w:p>
    <w:p>
      <w:pPr>
        <w:pStyle w:val="719"/>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719"/>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719"/>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ind w:firstLine="560"/>
        <w:spacing w:line="52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4.我公司参加政府采购活动前三年内，在经营活动中没有重大违法记录，无贿赂工作人员等违法记录；</w:t>
      </w:r>
      <w:r/>
    </w:p>
    <w:p>
      <w:pPr>
        <w:pStyle w:val="719"/>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719"/>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bookmarkEnd w:id="362"/>
      <w:r/>
      <w:bookmarkEnd w:id="363"/>
      <w:bookmarkEnd w:id="364"/>
      <w:r/>
    </w:p>
    <w:p>
      <w:pPr>
        <w:pStyle w:val="719"/>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719"/>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719"/>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1.具有有效的营业执照（附证书的扫描件）；</w:t>
      </w:r>
      <w:r/>
    </w:p>
    <w:p>
      <w:pPr>
        <w:ind w:firstLine="560"/>
        <w:spacing w:line="48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2.本项目的特定资格要求提供的证明材料（具体见招标公告要求）。</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rPr>
          <w:rFonts w:ascii="宋体" w:hAnsi="宋体" w:cs="宋体"/>
          <w:b/>
          <w:sz w:val="36"/>
          <w:szCs w:val="28"/>
        </w:rPr>
      </w:pPr>
      <w:r/>
      <w:bookmarkStart w:id="365" w:name="OLE_LINK83"/>
      <w:r/>
      <w:bookmarkStart w:id="366" w:name="OLE_LINK82"/>
      <w:r/>
      <w:bookmarkStart w:id="367" w:name="OLE_LINK88"/>
      <w:r>
        <w:rPr>
          <w:rFonts w:hint="eastAsia" w:ascii="宋体" w:hAnsi="宋体" w:cs="宋体"/>
          <w:b/>
          <w:sz w:val="36"/>
          <w:szCs w:val="28"/>
        </w:rPr>
        <w:t xml:space="preserve">中小企业声明函（货物）</w:t>
      </w:r>
      <w:r/>
    </w:p>
    <w:p>
      <w:pPr>
        <w:ind w:firstLine="566"/>
        <w:spacing w:line="440" w:lineRule="exact"/>
        <w:rPr>
          <w:rFonts w:ascii="宋体" w:hAnsi="宋体" w:cs="仿宋"/>
          <w:sz w:val="28"/>
          <w:szCs w:val="28"/>
        </w:rPr>
      </w:pPr>
      <w:r>
        <w:rPr>
          <w:rFonts w:ascii="宋体" w:hAnsi="宋体" w:cs="仿宋"/>
          <w:sz w:val="28"/>
          <w:szCs w:val="28"/>
        </w:rPr>
      </w:r>
      <w:r/>
    </w:p>
    <w:p>
      <w:pPr>
        <w:ind w:firstLine="566"/>
        <w:spacing w:line="500" w:lineRule="exact"/>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万元1，属于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2.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6"/>
        <w:spacing w:line="50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962"/>
        <w:spacing w:line="500" w:lineRule="exact"/>
        <w:rPr>
          <w:rFonts w:ascii="宋体" w:hAnsi="宋体" w:cs="宋体"/>
          <w:sz w:val="28"/>
          <w:szCs w:val="28"/>
        </w:rPr>
      </w:pPr>
      <w:r>
        <w:rPr>
          <w:rFonts w:hint="eastAsia" w:ascii="宋体" w:hAnsi="宋体" w:cs="宋体"/>
          <w:sz w:val="28"/>
          <w:szCs w:val="28"/>
        </w:rPr>
        <w:t xml:space="preserve">企业名称（盖章）：</w:t>
      </w:r>
      <w:r/>
    </w:p>
    <w:p>
      <w:pPr>
        <w:ind w:firstLine="4962"/>
        <w:spacing w:line="500" w:lineRule="exact"/>
        <w:rPr>
          <w:rFonts w:ascii="宋体" w:hAnsi="宋体" w:cs="宋体"/>
          <w:sz w:val="28"/>
          <w:szCs w:val="28"/>
        </w:rPr>
      </w:pPr>
      <w:r>
        <w:rPr>
          <w:rFonts w:hint="eastAsia" w:ascii="宋体" w:hAnsi="宋体" w:cs="宋体"/>
          <w:sz w:val="28"/>
          <w:szCs w:val="28"/>
        </w:rPr>
        <w:t xml:space="preserve">日期：</w:t>
      </w:r>
      <w:r/>
    </w:p>
    <w:p>
      <w:pPr>
        <w:pStyle w:val="754"/>
        <w:ind w:left="562" w:hanging="562"/>
        <w:spacing w:line="400" w:lineRule="exact"/>
        <w:rPr>
          <w:rFonts w:ascii="宋体" w:hAnsi="宋体" w:cs="宋体"/>
          <w:b/>
          <w:sz w:val="28"/>
          <w:szCs w:val="28"/>
        </w:rPr>
      </w:pPr>
      <w:r>
        <w:rPr>
          <w:rFonts w:hint="eastAsia" w:ascii="宋体" w:hAnsi="宋体" w:cs="宋体"/>
          <w:b/>
          <w:sz w:val="28"/>
          <w:szCs w:val="28"/>
        </w:rPr>
        <w:t xml:space="preserve">备注说明：</w:t>
      </w:r>
      <w:r/>
    </w:p>
    <w:p>
      <w:pPr>
        <w:pStyle w:val="754"/>
        <w:ind w:left="562" w:hanging="562"/>
        <w:spacing w:line="400" w:lineRule="exact"/>
        <w:rPr>
          <w:rFonts w:ascii="宋体" w:hAnsi="宋体" w:cs="宋体"/>
          <w:b/>
          <w:sz w:val="28"/>
          <w:szCs w:val="28"/>
        </w:rPr>
      </w:pPr>
      <w:r>
        <w:rPr>
          <w:rFonts w:hint="eastAsia" w:ascii="宋体" w:hAnsi="宋体" w:cs="宋体"/>
          <w:b/>
          <w:sz w:val="28"/>
          <w:szCs w:val="28"/>
        </w:rPr>
        <w:t xml:space="preserve">1、从业人员、营业收入填报上一年度数据，无上一年度数据的新成立企业可不填报。</w:t>
      </w:r>
      <w:r/>
    </w:p>
    <w:p>
      <w:pPr>
        <w:spacing w:line="400" w:lineRule="exact"/>
        <w:rPr>
          <w:rFonts w:ascii="宋体" w:hAnsi="宋体" w:cs="宋体"/>
          <w:b/>
          <w:sz w:val="28"/>
          <w:szCs w:val="28"/>
        </w:rPr>
      </w:pPr>
      <w:r>
        <w:rPr>
          <w:rFonts w:hint="eastAsia" w:ascii="宋体" w:hAnsi="宋体" w:cs="宋体"/>
          <w:b/>
          <w:sz w:val="28"/>
          <w:szCs w:val="28"/>
        </w:rPr>
        <w:t xml:space="preserve">2、供应商未提供此声明函的，将无法享受价格优惠评审。</w:t>
      </w:r>
      <w:r/>
    </w:p>
    <w:p>
      <w:pPr>
        <w:pStyle w:val="718"/>
        <w:ind w:firstLine="0"/>
        <w:spacing w:line="400" w:lineRule="exact"/>
        <w:rPr>
          <w:rFonts w:ascii="宋体" w:hAnsi="宋体" w:cs="宋体"/>
          <w:sz w:val="28"/>
          <w:szCs w:val="28"/>
        </w:rPr>
      </w:pPr>
      <w:r>
        <w:rPr>
          <w:rFonts w:hint="eastAsia" w:ascii="宋体" w:hAnsi="宋体" w:cs="宋体"/>
          <w:b/>
          <w:sz w:val="28"/>
          <w:szCs w:val="28"/>
        </w:rPr>
        <w:t xml:space="preserve">3、供应商提供的声明函内容不实的，属于提供虚假材料谋取中标，依照《中华人民共和国政府采购法》等国家有关规定追究相应责任。</w:t>
      </w:r>
      <w:bookmarkEnd w:id="365"/>
      <w:bookmarkEnd w:id="366"/>
      <w:bookmarkEnd w:id="367"/>
      <w:r/>
    </w:p>
    <w:p>
      <w:r/>
      <w:r/>
    </w:p>
    <w:p>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r/>
    </w:p>
    <w:p>
      <w:pPr>
        <w:jc w:val="center"/>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关于符合本国产品标准的声明函</w:t>
      </w:r>
      <w:r/>
    </w:p>
    <w:p>
      <w:pPr>
        <w:ind w:firstLine="566"/>
        <w:spacing w:line="500" w:lineRule="exact"/>
        <w:rPr>
          <w:rFonts w:ascii="宋体" w:hAnsi="宋体" w:cs="宋体"/>
          <w:sz w:val="28"/>
          <w:szCs w:val="28"/>
        </w:rPr>
      </w:pPr>
      <w:r>
        <w:rPr>
          <w:rFonts w:ascii="宋体" w:hAnsi="宋体" w:cs="宋体"/>
          <w:sz w:val="28"/>
          <w:szCs w:val="28"/>
        </w:rPr>
      </w:r>
      <w:r/>
    </w:p>
    <w:p>
      <w:pPr>
        <w:ind w:firstLine="566"/>
        <w:spacing w:line="500" w:lineRule="exact"/>
        <w:rPr>
          <w:rFonts w:ascii="宋体" w:hAnsi="宋体" w:cs="宋体"/>
          <w:sz w:val="28"/>
          <w:szCs w:val="28"/>
        </w:rPr>
      </w:pPr>
      <w:r>
        <w:rPr>
          <w:rFonts w:hint="eastAsia" w:ascii="宋体" w:hAnsi="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(产品名称1)</w:t>
      </w:r>
      <w:r>
        <w:rPr>
          <w:rFonts w:hint="eastAsia" w:ascii="宋体" w:hAnsi="宋体" w:cs="宋体"/>
          <w:sz w:val="28"/>
          <w:szCs w:val="28"/>
        </w:rPr>
        <w:t xml:space="preserve">，生产厂为</w:t>
      </w:r>
      <w:r>
        <w:rPr>
          <w:rFonts w:hint="eastAsia" w:ascii="宋体" w:hAnsi="宋体" w:cs="宋体"/>
          <w:sz w:val="28"/>
          <w:szCs w:val="28"/>
          <w:u w:val="single"/>
        </w:rPr>
        <w:t xml:space="preserve">(厂名)2</w:t>
      </w:r>
      <w:r>
        <w:rPr>
          <w:rFonts w:hint="eastAsia" w:ascii="宋体" w:hAnsi="宋体" w:cs="宋体"/>
          <w:sz w:val="28"/>
          <w:szCs w:val="28"/>
        </w:rPr>
        <w:t xml:space="preserve">，厂址为</w:t>
      </w:r>
      <w:r>
        <w:rPr>
          <w:rFonts w:hint="eastAsia" w:ascii="宋体" w:hAnsi="宋体" w:cs="宋体"/>
          <w:sz w:val="28"/>
          <w:szCs w:val="28"/>
          <w:u w:val="single"/>
        </w:rPr>
        <w:t xml:space="preserve">(生产厂址)</w:t>
      </w:r>
      <w:r>
        <w:rPr>
          <w:rFonts w:hint="eastAsia" w:ascii="宋体" w:hAnsi="宋体" w:cs="宋体"/>
          <w:sz w:val="28"/>
          <w:szCs w:val="28"/>
        </w:rPr>
        <w:t xml:space="preserve">。</w:t>
      </w:r>
      <w:r>
        <w:rPr>
          <w:rFonts w:hint="eastAsia" w:ascii="宋体" w:hAnsi="宋体" w:cs="宋体"/>
          <w:sz w:val="28"/>
          <w:szCs w:val="28"/>
          <w:u w:val="single"/>
        </w:rPr>
        <w:t xml:space="preserve">(产品名称1)</w:t>
      </w:r>
      <w:r>
        <w:rPr>
          <w:rFonts w:hint="eastAsia" w:ascii="宋体" w:hAnsi="宋体" w:cs="宋体"/>
          <w:sz w:val="28"/>
          <w:szCs w:val="28"/>
        </w:rPr>
        <w:t xml:space="preserve">的中国境内生产的组件成本占比≥</w:t>
      </w:r>
      <w:r>
        <w:rPr>
          <w:rFonts w:hint="eastAsia" w:ascii="宋体" w:hAnsi="宋体" w:cs="宋体"/>
          <w:sz w:val="28"/>
          <w:szCs w:val="28"/>
          <w:u w:val="single"/>
        </w:rPr>
        <w:t xml:space="preserve">(规定比例)</w:t>
      </w:r>
      <w:r>
        <w:rPr>
          <w:rFonts w:hint="eastAsia" w:ascii="宋体" w:hAnsi="宋体" w:cs="宋体"/>
          <w:sz w:val="28"/>
          <w:szCs w:val="28"/>
        </w:rPr>
        <w:t xml:space="preserve">。</w:t>
      </w:r>
      <w:r>
        <w:rPr>
          <w:rFonts w:hint="eastAsia" w:ascii="宋体" w:hAnsi="宋体" w:cs="宋体"/>
          <w:sz w:val="28"/>
          <w:szCs w:val="28"/>
          <w:u w:val="single"/>
        </w:rPr>
        <w:t xml:space="preserve">(产品名称1)</w:t>
      </w:r>
      <w:r>
        <w:rPr>
          <w:rFonts w:hint="eastAsia" w:ascii="宋体" w:hAnsi="宋体" w:cs="宋体"/>
          <w:sz w:val="28"/>
          <w:szCs w:val="28"/>
        </w:rPr>
        <w:t xml:space="preserve">的</w:t>
      </w:r>
      <w:r>
        <w:rPr>
          <w:rFonts w:hint="eastAsia" w:ascii="宋体" w:hAnsi="宋体" w:cs="宋体"/>
          <w:sz w:val="28"/>
          <w:szCs w:val="28"/>
          <w:u w:val="single"/>
        </w:rPr>
        <w:t xml:space="preserve">(关键组件)</w:t>
      </w:r>
      <w:r>
        <w:rPr>
          <w:rFonts w:hint="eastAsia" w:ascii="宋体" w:hAnsi="宋体" w:cs="宋体"/>
          <w:sz w:val="28"/>
          <w:szCs w:val="28"/>
        </w:rPr>
        <w:t xml:space="preserve">在中国境内生产。</w:t>
      </w:r>
      <w:r>
        <w:rPr>
          <w:rFonts w:hint="eastAsia" w:ascii="宋体" w:hAnsi="宋体" w:cs="宋体"/>
          <w:sz w:val="28"/>
          <w:szCs w:val="28"/>
          <w:u w:val="single"/>
        </w:rPr>
        <w:t xml:space="preserve">(产品名称1)</w:t>
      </w:r>
      <w:r>
        <w:rPr>
          <w:rFonts w:hint="eastAsia" w:ascii="宋体" w:hAnsi="宋体" w:cs="宋体"/>
          <w:sz w:val="28"/>
          <w:szCs w:val="28"/>
        </w:rPr>
        <w:t xml:space="preserve">的</w:t>
      </w:r>
      <w:r>
        <w:rPr>
          <w:rFonts w:hint="eastAsia" w:ascii="宋体" w:hAnsi="宋体" w:cs="宋体"/>
          <w:sz w:val="28"/>
          <w:szCs w:val="28"/>
          <w:u w:val="single"/>
        </w:rPr>
        <w:t xml:space="preserve">(关键工序)</w:t>
      </w:r>
      <w:r>
        <w:rPr>
          <w:rFonts w:hint="eastAsia" w:ascii="宋体" w:hAnsi="宋体" w:cs="宋体"/>
          <w:sz w:val="28"/>
          <w:szCs w:val="28"/>
        </w:rPr>
        <w:t xml:space="preserve">在中国境内完成。</w:t>
      </w:r>
      <w:r/>
    </w:p>
    <w:p>
      <w:pPr>
        <w:ind w:firstLine="566"/>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(产品名称2)</w:t>
      </w:r>
      <w:r>
        <w:rPr>
          <w:rFonts w:hint="eastAsia" w:ascii="宋体" w:hAnsi="宋体" w:cs="宋体"/>
          <w:sz w:val="28"/>
          <w:szCs w:val="28"/>
        </w:rPr>
        <w:t xml:space="preserve">，生产厂为</w:t>
      </w:r>
      <w:r>
        <w:rPr>
          <w:rFonts w:hint="eastAsia" w:ascii="宋体" w:hAnsi="宋体" w:cs="宋体"/>
          <w:sz w:val="28"/>
          <w:szCs w:val="28"/>
          <w:u w:val="single"/>
        </w:rPr>
        <w:t xml:space="preserve">(厂名)</w:t>
      </w:r>
      <w:r>
        <w:rPr>
          <w:rFonts w:hint="eastAsia" w:ascii="宋体" w:hAnsi="宋体" w:cs="宋体"/>
          <w:sz w:val="28"/>
          <w:szCs w:val="28"/>
        </w:rPr>
        <w:t xml:space="preserve">，厂址为</w:t>
      </w:r>
      <w:r>
        <w:rPr>
          <w:rFonts w:hint="eastAsia" w:ascii="宋体" w:hAnsi="宋体" w:cs="宋体"/>
          <w:sz w:val="28"/>
          <w:szCs w:val="28"/>
          <w:u w:val="single"/>
        </w:rPr>
        <w:t xml:space="preserve">(生产厂址)</w:t>
      </w:r>
      <w:r>
        <w:rPr>
          <w:rFonts w:hint="eastAsia" w:ascii="宋体" w:hAnsi="宋体" w:cs="宋体"/>
          <w:sz w:val="28"/>
          <w:szCs w:val="28"/>
        </w:rPr>
        <w:t xml:space="preserve">。</w:t>
      </w:r>
      <w:r>
        <w:rPr>
          <w:rFonts w:hint="eastAsia" w:ascii="宋体" w:hAnsi="宋体" w:cs="宋体"/>
          <w:sz w:val="28"/>
          <w:szCs w:val="28"/>
          <w:u w:val="single"/>
        </w:rPr>
        <w:t xml:space="preserve">(产品名称2)</w:t>
      </w:r>
      <w:r>
        <w:rPr>
          <w:rFonts w:hint="eastAsia" w:ascii="宋体" w:hAnsi="宋体" w:cs="宋体"/>
          <w:sz w:val="28"/>
          <w:szCs w:val="28"/>
        </w:rPr>
        <w:t xml:space="preserve">的中国境内生产的组件成本占比≥</w:t>
      </w:r>
      <w:r>
        <w:rPr>
          <w:rFonts w:hint="eastAsia" w:ascii="宋体" w:hAnsi="宋体" w:cs="宋体"/>
          <w:sz w:val="28"/>
          <w:szCs w:val="28"/>
          <w:u w:val="single"/>
        </w:rPr>
        <w:t xml:space="preserve">(规定比例)</w:t>
      </w:r>
      <w:r>
        <w:rPr>
          <w:rFonts w:hint="eastAsia" w:ascii="宋体" w:hAnsi="宋体" w:cs="宋体"/>
          <w:sz w:val="28"/>
          <w:szCs w:val="28"/>
        </w:rPr>
        <w:t xml:space="preserve">。</w:t>
      </w:r>
      <w:r>
        <w:rPr>
          <w:rFonts w:hint="eastAsia" w:ascii="宋体" w:hAnsi="宋体" w:cs="宋体"/>
          <w:sz w:val="28"/>
          <w:szCs w:val="28"/>
          <w:u w:val="single"/>
        </w:rPr>
        <w:t xml:space="preserve">(产品名称2)</w:t>
      </w:r>
      <w:r>
        <w:rPr>
          <w:rFonts w:hint="eastAsia" w:ascii="宋体" w:hAnsi="宋体" w:cs="宋体"/>
          <w:sz w:val="28"/>
          <w:szCs w:val="28"/>
        </w:rPr>
        <w:t xml:space="preserve">的</w:t>
      </w:r>
      <w:r>
        <w:rPr>
          <w:rFonts w:hint="eastAsia" w:ascii="宋体" w:hAnsi="宋体" w:cs="宋体"/>
          <w:sz w:val="28"/>
          <w:szCs w:val="28"/>
          <w:u w:val="single"/>
        </w:rPr>
        <w:t xml:space="preserve">(关键组件)</w:t>
      </w:r>
      <w:r>
        <w:rPr>
          <w:rFonts w:hint="eastAsia" w:ascii="宋体" w:hAnsi="宋体" w:cs="宋体"/>
          <w:sz w:val="28"/>
          <w:szCs w:val="28"/>
        </w:rPr>
        <w:t xml:space="preserve">在中国境内生产。</w:t>
      </w:r>
      <w:r>
        <w:rPr>
          <w:rFonts w:hint="eastAsia" w:ascii="宋体" w:hAnsi="宋体" w:cs="宋体"/>
          <w:sz w:val="28"/>
          <w:szCs w:val="28"/>
          <w:u w:val="single"/>
        </w:rPr>
        <w:t xml:space="preserve">(产品名称2)</w:t>
      </w:r>
      <w:r>
        <w:rPr>
          <w:rFonts w:hint="eastAsia" w:ascii="宋体" w:hAnsi="宋体" w:cs="宋体"/>
          <w:sz w:val="28"/>
          <w:szCs w:val="28"/>
        </w:rPr>
        <w:t xml:space="preserve">的</w:t>
      </w:r>
      <w:r>
        <w:rPr>
          <w:rFonts w:hint="eastAsia" w:ascii="宋体" w:hAnsi="宋体" w:cs="宋体"/>
          <w:sz w:val="28"/>
          <w:szCs w:val="28"/>
          <w:u w:val="single"/>
        </w:rPr>
        <w:t xml:space="preserve">(关键工序)</w:t>
      </w:r>
      <w:r>
        <w:rPr>
          <w:rFonts w:hint="eastAsia" w:ascii="宋体" w:hAnsi="宋体" w:cs="宋体"/>
          <w:sz w:val="28"/>
          <w:szCs w:val="28"/>
        </w:rPr>
        <w:t xml:space="preserve">在中国境内完成。</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ascii="宋体" w:hAnsi="宋体" w:cs="宋体"/>
          <w:sz w:val="28"/>
          <w:szCs w:val="28"/>
        </w:rPr>
      </w:r>
      <w:r/>
    </w:p>
    <w:p>
      <w:pPr>
        <w:pStyle w:val="716"/>
      </w:pPr>
      <w:r/>
      <w:r/>
    </w:p>
    <w:p>
      <w:pPr>
        <w:ind w:firstLine="424"/>
        <w:spacing w:line="500" w:lineRule="exact"/>
        <w:rPr>
          <w:rFonts w:ascii="宋体" w:hAnsi="宋体" w:cs="宋体"/>
          <w:sz w:val="21"/>
          <w:szCs w:val="21"/>
        </w:rPr>
      </w:pPr>
      <w:r>
        <w:rPr>
          <w:rFonts w:hint="eastAsia" w:ascii="宋体" w:hAnsi="宋体" w:cs="宋体"/>
          <w:sz w:val="21"/>
          <w:szCs w:val="21"/>
        </w:rPr>
        <w:t xml:space="preserve">1.产品如有型号，请在“产品名称”栏一并填写。</w:t>
      </w:r>
      <w:r/>
    </w:p>
    <w:p>
      <w:pPr>
        <w:ind w:firstLine="424"/>
        <w:spacing w:line="500" w:lineRule="exact"/>
        <w:rPr>
          <w:rFonts w:ascii="宋体" w:hAnsi="宋体" w:cs="宋体"/>
          <w:sz w:val="21"/>
          <w:szCs w:val="21"/>
        </w:rPr>
      </w:pPr>
      <w:r>
        <w:rPr>
          <w:rFonts w:hint="eastAsia" w:ascii="宋体" w:hAnsi="宋体" w:cs="宋体"/>
          <w:sz w:val="21"/>
          <w:szCs w:val="21"/>
        </w:rPr>
        <w:t xml:space="preserve">2.生产厂名与厂址应与生产厂营业执照载明的相关信息保持一致。</w:t>
      </w:r>
      <w:r/>
    </w:p>
    <w:p>
      <w:pPr>
        <w:ind w:firstLine="424"/>
        <w:spacing w:line="500" w:lineRule="exact"/>
        <w:rPr>
          <w:rFonts w:ascii="宋体" w:hAnsi="宋体" w:cs="宋体"/>
          <w:sz w:val="21"/>
          <w:szCs w:val="21"/>
        </w:rPr>
      </w:pPr>
      <w:r>
        <w:rPr>
          <w:rFonts w:hint="eastAsia" w:ascii="宋体" w:hAnsi="宋体" w:cs="宋体"/>
          <w:sz w:val="21"/>
          <w:szCs w:val="21"/>
        </w:rPr>
        <w:t xml:space="preserve">3.该产品的中国境内生产的组件成本占比相关要求实施前，“规定比例”栏可不填，下同。</w:t>
      </w:r>
      <w:r/>
    </w:p>
    <w:p>
      <w:pPr>
        <w:ind w:firstLine="424"/>
        <w:spacing w:line="500" w:lineRule="exact"/>
        <w:rPr>
          <w:rFonts w:ascii="宋体" w:hAnsi="宋体" w:cs="宋体"/>
          <w:sz w:val="21"/>
          <w:szCs w:val="21"/>
        </w:rPr>
      </w:pPr>
      <w:r>
        <w:rPr>
          <w:rFonts w:hint="eastAsia" w:ascii="宋体" w:hAnsi="宋体" w:cs="宋体"/>
          <w:sz w:val="21"/>
          <w:szCs w:val="21"/>
        </w:rPr>
        <w:t xml:space="preserve">4.该产品的关键组件要求实施前，“关键组件”栏可不填，下同。</w:t>
      </w:r>
      <w:r/>
    </w:p>
    <w:p>
      <w:pPr>
        <w:ind w:firstLine="424"/>
        <w:spacing w:line="500" w:lineRule="exact"/>
        <w:rPr>
          <w:rFonts w:ascii="宋体" w:hAnsi="宋体" w:cs="宋体"/>
          <w:sz w:val="21"/>
          <w:szCs w:val="21"/>
        </w:rPr>
      </w:pPr>
      <w:r>
        <w:rPr>
          <w:rFonts w:hint="eastAsia" w:ascii="宋体" w:hAnsi="宋体" w:cs="宋体"/>
          <w:sz w:val="21"/>
          <w:szCs w:val="21"/>
        </w:rPr>
        <w:t xml:space="preserve">5.该产品的关键工序要求实施前，“关键工序”栏可不填，下同。</w:t>
      </w:r>
      <w:r/>
    </w:p>
    <w:p>
      <w:pPr>
        <w:ind w:firstLine="566"/>
        <w:spacing w:line="500" w:lineRule="exact"/>
        <w:rPr>
          <w:rFonts w:ascii="宋体" w:hAnsi="宋体" w:cs="宋体"/>
          <w:sz w:val="28"/>
          <w:szCs w:val="28"/>
        </w:rPr>
      </w:pPr>
      <w:r>
        <w:rPr>
          <w:rFonts w:hint="eastAsia" w:ascii="宋体" w:hAnsi="宋体" w:cs="宋体"/>
          <w:sz w:val="28"/>
          <w:szCs w:val="28"/>
        </w:rPr>
        <w:t xml:space="preserve">本公司(单位)对上述声明内容的真实性负责。如有虚假，愿承担相应法律责任。</w:t>
      </w:r>
      <w:r/>
    </w:p>
    <w:p>
      <w:pPr>
        <w:ind w:firstLine="566"/>
        <w:spacing w:line="500" w:lineRule="exact"/>
        <w:rPr>
          <w:rFonts w:ascii="宋体" w:hAnsi="宋体" w:cs="宋体"/>
          <w:sz w:val="28"/>
          <w:szCs w:val="28"/>
        </w:rPr>
      </w:pPr>
      <w:r>
        <w:rPr>
          <w:rFonts w:ascii="宋体" w:hAnsi="宋体" w:cs="宋体"/>
          <w:sz w:val="28"/>
          <w:szCs w:val="28"/>
        </w:rPr>
      </w:r>
      <w:r/>
    </w:p>
    <w:p>
      <w:pPr>
        <w:ind w:firstLine="566"/>
        <w:spacing w:line="500" w:lineRule="exact"/>
        <w:rPr>
          <w:rFonts w:ascii="宋体" w:hAnsi="宋体" w:cs="宋体"/>
          <w:sz w:val="28"/>
          <w:szCs w:val="28"/>
        </w:rPr>
      </w:pPr>
      <w:r>
        <w:rPr>
          <w:rFonts w:ascii="宋体" w:hAnsi="宋体" w:cs="宋体"/>
          <w:sz w:val="28"/>
          <w:szCs w:val="28"/>
        </w:rPr>
      </w:r>
      <w:r/>
    </w:p>
    <w:p>
      <w:pPr>
        <w:ind w:firstLine="4483"/>
        <w:spacing w:line="500" w:lineRule="exact"/>
        <w:rPr>
          <w:rFonts w:ascii="宋体" w:hAnsi="宋体" w:cs="宋体"/>
          <w:sz w:val="28"/>
          <w:szCs w:val="28"/>
        </w:rPr>
      </w:pPr>
      <w:r>
        <w:rPr>
          <w:rFonts w:hint="eastAsia" w:ascii="宋体" w:hAnsi="宋体" w:cs="宋体"/>
          <w:sz w:val="28"/>
          <w:szCs w:val="28"/>
        </w:rPr>
        <w:t xml:space="preserve">公司(单位)名称(盖章):</w:t>
      </w:r>
      <w:r/>
    </w:p>
    <w:p>
      <w:pPr>
        <w:ind w:firstLine="4480"/>
        <w:spacing w:line="500" w:lineRule="exact"/>
        <w:rPr>
          <w:rFonts w:ascii="宋体" w:hAnsi="宋体" w:cs="宋体"/>
          <w:sz w:val="28"/>
          <w:szCs w:val="28"/>
        </w:rPr>
      </w:pPr>
      <w:r>
        <w:rPr>
          <w:rFonts w:hint="eastAsia" w:ascii="宋体" w:hAnsi="宋体" w:cs="宋体"/>
          <w:sz w:val="28"/>
          <w:szCs w:val="28"/>
        </w:rPr>
        <w:t xml:space="preserve">日期:</w:t>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3.6采购需求响应表</w:t>
      </w:r>
      <w:r/>
    </w:p>
    <w:p>
      <w:pPr>
        <w:jc w:val="center"/>
        <w:rPr>
          <w:rFonts w:ascii="宋体" w:hAnsi="宋体" w:cs="Arial Unicode MS"/>
          <w:sz w:val="28"/>
          <w:szCs w:val="28"/>
        </w:rPr>
      </w:pPr>
      <w:r/>
      <w:bookmarkStart w:id="368" w:name="OLE_LINK80"/>
      <w:r/>
      <w:bookmarkStart w:id="369" w:name="OLE_LINK90"/>
      <w:r/>
      <w:bookmarkStart w:id="370" w:name="OLE_LINK81"/>
      <w:r>
        <w:rPr>
          <w:rFonts w:hint="eastAsia" w:ascii="宋体" w:hAnsi="宋体" w:cs="Arial Unicode MS"/>
          <w:sz w:val="28"/>
          <w:szCs w:val="28"/>
        </w:rPr>
        <w:t xml:space="preserve">响应表</w:t>
      </w:r>
      <w:r/>
    </w:p>
    <w:tbl>
      <w:tblPr>
        <w:tblW w:w="9153"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996"/>
        <w:gridCol w:w="2241"/>
        <w:gridCol w:w="1080"/>
        <w:gridCol w:w="1266"/>
        <w:gridCol w:w="1599"/>
        <w:gridCol w:w="888"/>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招标技术参数</w:t>
            </w:r>
            <w:r/>
          </w:p>
        </w:tc>
        <w:tc>
          <w:tcPr>
            <w:gridSpan w:val="2"/>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投标技术参数</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是否偏离</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备注</w:t>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bookmarkEnd w:id="368"/>
            <w:bookmarkEnd w:id="369"/>
            <w:bookmarkEnd w:id="370"/>
            <w:r/>
          </w:p>
        </w:tc>
      </w:tr>
    </w:tbl>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pStyle w:val="737"/>
        <w:ind w:firstLine="643"/>
        <w:rPr>
          <w:rFonts w:ascii="楷体" w:hAnsi="楷体" w:eastAsia="楷体" w:cs="宋体"/>
          <w:b/>
          <w:sz w:val="32"/>
        </w:rPr>
      </w:pPr>
      <w:r>
        <w:rPr>
          <w:rFonts w:ascii="楷体" w:hAnsi="楷体" w:eastAsia="楷体" w:cs="宋体"/>
          <w:b/>
          <w:sz w:val="32"/>
        </w:rPr>
      </w:r>
      <w:r/>
    </w:p>
    <w:p>
      <w:pPr>
        <w:pStyle w:val="723"/>
        <w:rPr>
          <w:rFonts w:ascii="楷体" w:hAnsi="楷体" w:eastAsia="楷体" w:cs="宋体"/>
          <w:b/>
        </w:rPr>
      </w:pPr>
      <w:r>
        <w:rPr>
          <w:rFonts w:ascii="楷体" w:hAnsi="楷体" w:eastAsia="楷体" w:cs="宋体"/>
          <w:b/>
        </w:rPr>
      </w:r>
      <w:r/>
    </w:p>
    <w:p>
      <w:pPr>
        <w:pStyle w:val="730"/>
        <w:rPr>
          <w:rFonts w:ascii="楷体" w:hAnsi="楷体" w:eastAsia="楷体" w:cs="宋体"/>
          <w:b/>
          <w:sz w:val="32"/>
          <w:szCs w:val="32"/>
        </w:rPr>
      </w:pPr>
      <w:r>
        <w:rPr>
          <w:rFonts w:ascii="楷体" w:hAnsi="楷体" w:eastAsia="楷体" w:cs="宋体"/>
          <w:b/>
          <w:sz w:val="32"/>
          <w:szCs w:val="32"/>
        </w:rPr>
      </w:r>
      <w:r/>
    </w:p>
    <w:p>
      <w:pPr>
        <w:pStyle w:val="730"/>
        <w:rPr>
          <w:rFonts w:ascii="楷体" w:hAnsi="楷体" w:eastAsia="楷体" w:cs="宋体"/>
          <w:b/>
          <w:sz w:val="32"/>
          <w:szCs w:val="32"/>
        </w:rPr>
      </w:pPr>
      <w:r>
        <w:rPr>
          <w:rFonts w:ascii="楷体" w:hAnsi="楷体" w:eastAsia="楷体" w:cs="宋体"/>
          <w:b/>
          <w:sz w:val="32"/>
          <w:szCs w:val="32"/>
        </w:rPr>
      </w:r>
      <w:r/>
    </w:p>
    <w:p>
      <w:pPr>
        <w:pStyle w:val="730"/>
        <w:rPr>
          <w:rFonts w:ascii="楷体" w:hAnsi="楷体" w:eastAsia="楷体" w:cs="宋体"/>
          <w:b/>
          <w:sz w:val="32"/>
          <w:szCs w:val="32"/>
        </w:rPr>
      </w:pPr>
      <w:r>
        <w:rPr>
          <w:rFonts w:ascii="楷体" w:hAnsi="楷体" w:eastAsia="楷体" w:cs="宋体"/>
          <w:b/>
          <w:sz w:val="32"/>
          <w:szCs w:val="32"/>
        </w:rPr>
      </w:r>
      <w:r/>
    </w:p>
    <w:p>
      <w:pPr>
        <w:jc w:val="center"/>
        <w:rPr>
          <w:rFonts w:ascii="宋体" w:hAnsi="宋体"/>
          <w:b/>
          <w:sz w:val="28"/>
          <w:szCs w:val="28"/>
        </w:rPr>
      </w:pPr>
      <w:r>
        <w:rPr>
          <w:rFonts w:ascii="宋体" w:hAnsi="宋体"/>
          <w:b/>
          <w:sz w:val="28"/>
          <w:szCs w:val="28"/>
        </w:rPr>
      </w:r>
      <w:r/>
    </w:p>
    <w:p>
      <w:pPr>
        <w:pStyle w:val="745"/>
      </w:pPr>
      <w:r/>
      <w:r/>
    </w:p>
    <w:sectPr>
      <w:footerReference w:type="default" r:id="rId10"/>
      <w:footnotePr/>
      <w:endnotePr/>
      <w:type w:val="nextPage"/>
      <w:pgSz w:w="11906" w:h="16838" w:orient="portrait"/>
      <w:pgMar w:top="1440" w:right="1559" w:bottom="1440"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7749"/>
      <w:rPr/>
    </w:sdtPr>
    <w:sdtContent>
      <w:p>
        <w:pPr>
          <w:pStyle w:val="729"/>
          <w:jc w:val="center"/>
        </w:pPr>
        <w:r>
          <w:fldChar w:fldCharType="begin"/>
        </w:r>
        <w:r>
          <w:instrText xml:space="preserve">PAGE   \* MERGEFORMAT</w:instrText>
        </w:r>
        <w:r>
          <w:fldChar w:fldCharType="separate"/>
        </w:r>
        <w:r>
          <w:rPr>
            <w:lang w:val="zh-CN"/>
          </w:rPr>
          <w:t xml:space="preserve">23</w:t>
        </w:r>
        <w:r>
          <w:rPr>
            <w:lang w:val="zh-CN"/>
          </w:rPr>
          <w:fldChar w:fldCharType="end"/>
        </w:r>
        <w:r/>
      </w:p>
    </w:sdtContent>
  </w:sdt>
  <w:p>
    <w:pPr>
      <w:pStyle w:val="7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9"/>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pStyle w:val="770"/>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0"/>
  </w:num>
  <w:num w:numId="4">
    <w:abstractNumId w:val="6"/>
  </w:num>
  <w:num w:numId="5">
    <w:abstractNumId w:val="4"/>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3"/>
    <w:link w:val="709"/>
    <w:uiPriority w:val="9"/>
    <w:rPr>
      <w:rFonts w:ascii="Arial" w:hAnsi="Arial" w:eastAsia="Arial" w:cs="Arial"/>
      <w:sz w:val="40"/>
      <w:szCs w:val="40"/>
    </w:rPr>
  </w:style>
  <w:style w:type="character" w:styleId="15">
    <w:name w:val="Heading 2 Char"/>
    <w:basedOn w:val="713"/>
    <w:link w:val="710"/>
    <w:uiPriority w:val="9"/>
    <w:rPr>
      <w:rFonts w:ascii="Arial" w:hAnsi="Arial" w:eastAsia="Arial" w:cs="Arial"/>
      <w:sz w:val="34"/>
    </w:rPr>
  </w:style>
  <w:style w:type="character" w:styleId="17">
    <w:name w:val="Heading 3 Char"/>
    <w:basedOn w:val="713"/>
    <w:link w:val="711"/>
    <w:uiPriority w:val="9"/>
    <w:rPr>
      <w:rFonts w:ascii="Arial" w:hAnsi="Arial" w:eastAsia="Arial" w:cs="Arial"/>
      <w:sz w:val="30"/>
      <w:szCs w:val="30"/>
    </w:rPr>
  </w:style>
  <w:style w:type="character" w:styleId="19">
    <w:name w:val="Heading 4 Char"/>
    <w:basedOn w:val="713"/>
    <w:link w:val="712"/>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3"/>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3"/>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3"/>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3"/>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713"/>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713"/>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3"/>
    <w:link w:val="731"/>
    <w:uiPriority w:val="99"/>
  </w:style>
  <w:style w:type="character" w:styleId="44">
    <w:name w:val="Footer Char"/>
    <w:basedOn w:val="713"/>
    <w:link w:val="729"/>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729"/>
    <w:uiPriority w:val="99"/>
  </w:style>
  <w:style w:type="table" w:styleId="48">
    <w:name w:val="Table Grid Light"/>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3"/>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3"/>
    <w:uiPriority w:val="99"/>
    <w:semiHidden/>
    <w:unhideWhenUsed/>
    <w:rPr>
      <w:vertAlign w:val="superscript"/>
    </w:rPr>
  </w:style>
  <w:style w:type="paragraph" w:styleId="181">
    <w:name w:val="toc 2"/>
    <w:basedOn w:val="708"/>
    <w:next w:val="708"/>
    <w:uiPriority w:val="39"/>
    <w:unhideWhenUsed/>
    <w:pPr>
      <w:ind w:left="283"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16"/>
    <w:qFormat/>
    <w:pPr>
      <w:jc w:val="both"/>
      <w:widowControl w:val="off"/>
    </w:pPr>
    <w:rPr>
      <w:sz w:val="24"/>
      <w:szCs w:val="24"/>
    </w:rPr>
  </w:style>
  <w:style w:type="paragraph" w:styleId="709">
    <w:name w:val="Heading 1"/>
    <w:basedOn w:val="708"/>
    <w:next w:val="708"/>
    <w:qFormat/>
    <w:pPr>
      <w:keepLines/>
      <w:keepNext/>
      <w:spacing w:before="340" w:after="330" w:line="578" w:lineRule="auto"/>
      <w:outlineLvl w:val="0"/>
    </w:pPr>
    <w:rPr>
      <w:b/>
      <w:bCs/>
      <w:sz w:val="44"/>
      <w:szCs w:val="44"/>
    </w:rPr>
  </w:style>
  <w:style w:type="paragraph" w:styleId="710">
    <w:name w:val="Heading 2"/>
    <w:basedOn w:val="717"/>
    <w:next w:val="708"/>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1">
    <w:name w:val="Heading 3"/>
    <w:basedOn w:val="708"/>
    <w:next w:val="708"/>
    <w:qFormat/>
    <w:pPr>
      <w:keepLines/>
      <w:keepNext/>
      <w:spacing w:before="260" w:after="260" w:line="415" w:lineRule="auto"/>
      <w:outlineLvl w:val="2"/>
    </w:pPr>
    <w:rPr>
      <w:sz w:val="32"/>
      <w:szCs w:val="32"/>
    </w:rPr>
  </w:style>
  <w:style w:type="paragraph" w:styleId="712">
    <w:name w:val="Heading 4"/>
    <w:basedOn w:val="708"/>
    <w:next w:val="70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13" w:default="1">
    <w:name w:val="Default Paragraph Font"/>
    <w:uiPriority w:val="1"/>
    <w:semiHidden/>
    <w:unhideWhenUsed/>
  </w:style>
  <w:style w:type="table" w:styleId="714" w:default="1">
    <w:name w:val="Normal Table"/>
    <w:uiPriority w:val="99"/>
    <w:semiHidden/>
    <w:unhideWhenUsed/>
    <w:tblPr>
      <w:tblInd w:w="0" w:type="dxa"/>
      <w:tblCellMar>
        <w:left w:w="108" w:type="dxa"/>
        <w:top w:w="0" w:type="dxa"/>
        <w:right w:w="108" w:type="dxa"/>
        <w:bottom w:w="0" w:type="dxa"/>
      </w:tblCellMar>
    </w:tblPr>
  </w:style>
  <w:style w:type="numbering" w:styleId="715" w:default="1">
    <w:name w:val="No List"/>
    <w:uiPriority w:val="99"/>
    <w:semiHidden/>
    <w:unhideWhenUsed/>
  </w:style>
  <w:style w:type="paragraph" w:styleId="716" w:customStyle="1">
    <w:name w:val="Default"/>
    <w:next w:val="708"/>
    <w:uiPriority w:val="99"/>
    <w:qFormat/>
    <w:pPr>
      <w:widowControl w:val="off"/>
    </w:pPr>
    <w:rPr>
      <w:rFonts w:ascii="仿宋" w:eastAsia="仿宋" w:cs="仿宋"/>
      <w:color w:val="000000"/>
      <w:sz w:val="24"/>
      <w:szCs w:val="24"/>
    </w:rPr>
  </w:style>
  <w:style w:type="paragraph" w:styleId="717">
    <w:name w:val="List Paragraph"/>
    <w:basedOn w:val="708"/>
    <w:uiPriority w:val="34"/>
    <w:qFormat/>
    <w:pPr>
      <w:ind w:firstLine="420"/>
    </w:pPr>
    <w:rPr>
      <w:rFonts w:eastAsia="Times New Roman"/>
    </w:rPr>
  </w:style>
  <w:style w:type="paragraph" w:styleId="718">
    <w:name w:val="Normal Indent"/>
    <w:basedOn w:val="708"/>
    <w:next w:val="708"/>
    <w:qFormat/>
    <w:pPr>
      <w:ind w:firstLine="420"/>
    </w:pPr>
    <w:rPr>
      <w:szCs w:val="21"/>
    </w:rPr>
  </w:style>
  <w:style w:type="paragraph" w:styleId="719">
    <w:name w:val="Document Map"/>
    <w:basedOn w:val="708"/>
    <w:link w:val="758"/>
    <w:uiPriority w:val="99"/>
    <w:unhideWhenUsed/>
    <w:qFormat/>
    <w:rPr>
      <w:rFonts w:ascii="宋体"/>
      <w:sz w:val="18"/>
      <w:szCs w:val="18"/>
    </w:rPr>
  </w:style>
  <w:style w:type="paragraph" w:styleId="720">
    <w:name w:val="annotation text"/>
    <w:basedOn w:val="708"/>
    <w:link w:val="759"/>
    <w:uiPriority w:val="99"/>
    <w:unhideWhenUsed/>
    <w:qFormat/>
    <w:pPr>
      <w:jc w:val="left"/>
    </w:pPr>
  </w:style>
  <w:style w:type="paragraph" w:styleId="721">
    <w:name w:val="Body Text"/>
    <w:basedOn w:val="708"/>
    <w:next w:val="722"/>
    <w:link w:val="752"/>
    <w:uiPriority w:val="99"/>
    <w:qFormat/>
    <w:pPr>
      <w:spacing w:after="120"/>
    </w:pPr>
  </w:style>
  <w:style w:type="paragraph" w:styleId="722">
    <w:name w:val="Body Text 2"/>
    <w:basedOn w:val="708"/>
    <w:qFormat/>
    <w:pPr>
      <w:jc w:val="center"/>
      <w:widowControl/>
    </w:pPr>
    <w:rPr>
      <w:rFonts w:ascii="楷体_GB2312" w:hAnsi="Calibri" w:eastAsia="楷体_GB2312"/>
      <w:sz w:val="28"/>
      <w:szCs w:val="28"/>
    </w:rPr>
  </w:style>
  <w:style w:type="paragraph" w:styleId="723">
    <w:name w:val="Body Text Indent"/>
    <w:basedOn w:val="708"/>
    <w:qFormat/>
    <w:pPr>
      <w:ind w:firstLine="645"/>
    </w:pPr>
    <w:rPr>
      <w:rFonts w:ascii="楷体_GB2312" w:hAnsi="Calibri" w:eastAsia="楷体_GB2312"/>
      <w:sz w:val="32"/>
      <w:szCs w:val="32"/>
    </w:rPr>
  </w:style>
  <w:style w:type="paragraph" w:styleId="724">
    <w:name w:val="Block Text"/>
    <w:basedOn w:val="708"/>
    <w:qFormat/>
    <w:pPr>
      <w:ind w:left="256" w:right="6" w:firstLine="624"/>
    </w:pPr>
    <w:rPr>
      <w:rFonts w:eastAsia="仿宋"/>
      <w:sz w:val="28"/>
      <w:szCs w:val="20"/>
    </w:rPr>
  </w:style>
  <w:style w:type="paragraph" w:styleId="725">
    <w:name w:val="toc 3"/>
    <w:basedOn w:val="708"/>
    <w:next w:val="708"/>
    <w:uiPriority w:val="39"/>
    <w:qFormat/>
    <w:pPr>
      <w:ind w:left="420"/>
      <w:jc w:val="left"/>
    </w:pPr>
    <w:rPr>
      <w:i/>
      <w:iCs/>
      <w:sz w:val="20"/>
      <w:szCs w:val="20"/>
    </w:rPr>
  </w:style>
  <w:style w:type="paragraph" w:styleId="726">
    <w:name w:val="Plain Text"/>
    <w:basedOn w:val="708"/>
    <w:qFormat/>
    <w:rPr>
      <w:rFonts w:ascii="宋体" w:hAnsi="Courier New"/>
      <w:szCs w:val="22"/>
    </w:rPr>
  </w:style>
  <w:style w:type="paragraph" w:styleId="727">
    <w:name w:val="Date"/>
    <w:basedOn w:val="708"/>
    <w:next w:val="708"/>
    <w:qFormat/>
    <w:rPr>
      <w:rFonts w:ascii="Calibri" w:hAnsi="Calibri"/>
    </w:rPr>
  </w:style>
  <w:style w:type="paragraph" w:styleId="728">
    <w:name w:val="Balloon Text"/>
    <w:basedOn w:val="708"/>
    <w:link w:val="757"/>
    <w:uiPriority w:val="99"/>
    <w:semiHidden/>
    <w:unhideWhenUsed/>
    <w:qFormat/>
    <w:rPr>
      <w:sz w:val="18"/>
      <w:szCs w:val="18"/>
    </w:rPr>
  </w:style>
  <w:style w:type="paragraph" w:styleId="729">
    <w:name w:val="Footer"/>
    <w:basedOn w:val="708"/>
    <w:link w:val="756"/>
    <w:uiPriority w:val="99"/>
    <w:unhideWhenUsed/>
    <w:qFormat/>
    <w:pPr>
      <w:jc w:val="left"/>
      <w:tabs>
        <w:tab w:val="center" w:pos="4153" w:leader="none"/>
        <w:tab w:val="right" w:pos="8306" w:leader="none"/>
      </w:tabs>
    </w:pPr>
    <w:rPr>
      <w:sz w:val="18"/>
      <w:szCs w:val="18"/>
    </w:rPr>
  </w:style>
  <w:style w:type="paragraph" w:styleId="730">
    <w:name w:val="envelope return"/>
    <w:basedOn w:val="708"/>
    <w:qFormat/>
    <w:rPr>
      <w:rFonts w:ascii="Arial" w:hAnsi="Arial"/>
    </w:rPr>
  </w:style>
  <w:style w:type="paragraph" w:styleId="731">
    <w:name w:val="Header"/>
    <w:basedOn w:val="708"/>
    <w:link w:val="7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8"/>
    <w:next w:val="708"/>
    <w:qFormat/>
    <w:rPr>
      <w:rFonts w:ascii="宋体"/>
    </w:rPr>
  </w:style>
  <w:style w:type="paragraph" w:styleId="733">
    <w:name w:val="Body Text Indent 3"/>
    <w:basedOn w:val="708"/>
    <w:link w:val="753"/>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734">
    <w:name w:val="HTML Preformatted"/>
    <w:basedOn w:val="708"/>
    <w:unhideWhenUsed/>
    <w:qFormat/>
    <w:rPr>
      <w:rFonts w:ascii="Courier New" w:hAnsi="Courier New" w:cs="Courier New"/>
      <w:sz w:val="20"/>
    </w:rPr>
  </w:style>
  <w:style w:type="paragraph" w:styleId="735">
    <w:name w:val="Normal (Web)"/>
    <w:basedOn w:val="708"/>
    <w:uiPriority w:val="99"/>
    <w:qFormat/>
    <w:pPr>
      <w:jc w:val="left"/>
      <w:spacing w:before="150" w:after="150" w:line="480" w:lineRule="auto"/>
    </w:pPr>
    <w:rPr>
      <w:rFonts w:hint="eastAsia" w:ascii="宋体" w:hAnsi="宋体"/>
      <w:color w:val="000000"/>
    </w:rPr>
  </w:style>
  <w:style w:type="paragraph" w:styleId="736">
    <w:name w:val="annotation subject"/>
    <w:basedOn w:val="720"/>
    <w:next w:val="720"/>
    <w:link w:val="760"/>
    <w:uiPriority w:val="99"/>
    <w:semiHidden/>
    <w:unhideWhenUsed/>
    <w:qFormat/>
    <w:rPr>
      <w:b/>
      <w:bCs/>
    </w:rPr>
  </w:style>
  <w:style w:type="paragraph" w:styleId="737">
    <w:name w:val="Body Text First Indent 2"/>
    <w:basedOn w:val="723"/>
    <w:qFormat/>
    <w:pPr>
      <w:ind w:firstLine="420"/>
      <w:spacing w:line="360" w:lineRule="auto"/>
    </w:pPr>
    <w:rPr>
      <w:rFonts w:ascii="宋体" w:hAnsi="宋体"/>
      <w:sz w:val="21"/>
    </w:rPr>
  </w:style>
  <w:style w:type="table" w:styleId="738">
    <w:name w:val="Table Grid"/>
    <w:basedOn w:val="714"/>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13"/>
    <w:uiPriority w:val="22"/>
    <w:qFormat/>
    <w:rPr>
      <w:b/>
    </w:rPr>
  </w:style>
  <w:style w:type="character" w:styleId="740">
    <w:name w:val="Hyperlink"/>
    <w:uiPriority w:val="99"/>
    <w:qFormat/>
    <w:rPr>
      <w:rFonts w:cs="Times New Roman"/>
      <w:color w:val="336699"/>
      <w:sz w:val="18"/>
      <w:u w:val="none"/>
    </w:rPr>
  </w:style>
  <w:style w:type="character" w:styleId="741">
    <w:name w:val="annotation reference"/>
    <w:basedOn w:val="713"/>
    <w:uiPriority w:val="99"/>
    <w:semiHidden/>
    <w:unhideWhenUsed/>
    <w:qFormat/>
    <w:rPr>
      <w:sz w:val="21"/>
      <w:szCs w:val="21"/>
    </w:rPr>
  </w:style>
  <w:style w:type="paragraph" w:styleId="742" w:customStyle="1">
    <w:name w:val="正文首行缩进 211"/>
    <w:basedOn w:val="743"/>
    <w:next w:val="745"/>
    <w:qFormat/>
    <w:pPr>
      <w:ind w:left="0" w:firstLine="420"/>
      <w:spacing w:after="0" w:line="360" w:lineRule="auto"/>
    </w:pPr>
    <w:rPr>
      <w:rFonts w:ascii="宋体" w:hAnsi="宋体"/>
      <w:szCs w:val="20"/>
    </w:rPr>
  </w:style>
  <w:style w:type="paragraph" w:styleId="743" w:customStyle="1">
    <w:name w:val="正文文本缩进11"/>
    <w:basedOn w:val="708"/>
    <w:next w:val="744"/>
    <w:unhideWhenUsed/>
    <w:qFormat/>
    <w:pPr>
      <w:ind w:left="420"/>
      <w:spacing w:after="120"/>
    </w:pPr>
  </w:style>
  <w:style w:type="paragraph" w:styleId="744" w:customStyle="1">
    <w:name w:val="寄信人地址11"/>
    <w:basedOn w:val="708"/>
    <w:qFormat/>
    <w:rPr>
      <w:rFonts w:ascii="Arial" w:hAnsi="Arial"/>
    </w:rPr>
  </w:style>
  <w:style w:type="paragraph" w:styleId="745" w:customStyle="1">
    <w:name w:val="样式 标题 3 + (中文) 黑体 小四 非加粗 段前: 7.8 磅 段后: 0 磅 行距: 固定值 20 磅_0"/>
    <w:basedOn w:val="746"/>
    <w:qFormat/>
    <w:pPr>
      <w:spacing w:before="0" w:after="0" w:line="400" w:lineRule="exact"/>
    </w:pPr>
    <w:rPr>
      <w:rFonts w:ascii="Times New Roman" w:hAnsi="Times New Roman" w:eastAsia="黑体" w:cs="宋体"/>
      <w:b w:val="0"/>
      <w:bCs w:val="0"/>
      <w:sz w:val="21"/>
      <w:szCs w:val="20"/>
    </w:rPr>
  </w:style>
  <w:style w:type="paragraph" w:styleId="746" w:customStyle="1">
    <w:name w:val="标题 3_0"/>
    <w:basedOn w:val="747"/>
    <w:next w:val="748"/>
    <w:qFormat/>
    <w:pPr>
      <w:keepLines/>
      <w:keepNext/>
      <w:spacing w:before="260" w:after="260" w:line="416" w:lineRule="auto"/>
      <w:outlineLvl w:val="2"/>
    </w:pPr>
    <w:rPr>
      <w:rFonts w:eastAsia="宋体"/>
      <w:b/>
      <w:bCs/>
      <w:sz w:val="32"/>
      <w:szCs w:val="32"/>
    </w:rPr>
  </w:style>
  <w:style w:type="paragraph" w:styleId="747" w:customStyle="1">
    <w:name w:val="正文_0"/>
    <w:next w:val="742"/>
    <w:qFormat/>
    <w:pPr>
      <w:jc w:val="both"/>
      <w:widowControl w:val="off"/>
    </w:pPr>
    <w:rPr>
      <w:rFonts w:ascii="Calibri" w:hAnsi="Calibri" w:eastAsia="仿宋_GB2312"/>
      <w:sz w:val="21"/>
      <w:szCs w:val="22"/>
    </w:rPr>
  </w:style>
  <w:style w:type="paragraph" w:styleId="748" w:customStyle="1">
    <w:name w:val="正文_1"/>
    <w:next w:val="742"/>
    <w:qFormat/>
    <w:pPr>
      <w:jc w:val="both"/>
      <w:widowControl w:val="off"/>
    </w:pPr>
    <w:rPr>
      <w:rFonts w:ascii="Calibri" w:hAnsi="Calibri" w:eastAsia="仿宋_GB2312"/>
      <w:sz w:val="21"/>
      <w:szCs w:val="22"/>
    </w:rPr>
  </w:style>
  <w:style w:type="paragraph" w:styleId="749" w:customStyle="1">
    <w:name w:val="列出段落1"/>
    <w:basedOn w:val="708"/>
    <w:qFormat/>
    <w:pPr>
      <w:ind w:firstLine="420"/>
    </w:pPr>
    <w:rPr>
      <w:szCs w:val="22"/>
    </w:rPr>
  </w:style>
  <w:style w:type="character" w:styleId="750" w:customStyle="1">
    <w:name w:val="正文文本 Char"/>
    <w:basedOn w:val="713"/>
    <w:uiPriority w:val="99"/>
    <w:semiHidden/>
    <w:qFormat/>
    <w:rPr>
      <w:rFonts w:ascii="Times New Roman" w:hAnsi="Times New Roman" w:eastAsia="宋体" w:cs="Times New Roman"/>
      <w:sz w:val="24"/>
      <w:szCs w:val="24"/>
    </w:rPr>
  </w:style>
  <w:style w:type="character" w:styleId="751" w:customStyle="1">
    <w:name w:val="正文文本缩进 3 Char"/>
    <w:basedOn w:val="713"/>
    <w:uiPriority w:val="99"/>
    <w:semiHidden/>
    <w:qFormat/>
    <w:rPr>
      <w:rFonts w:ascii="Times New Roman" w:hAnsi="Times New Roman" w:eastAsia="宋体" w:cs="Times New Roman"/>
      <w:sz w:val="16"/>
      <w:szCs w:val="16"/>
    </w:rPr>
  </w:style>
  <w:style w:type="character" w:styleId="752" w:customStyle="1">
    <w:name w:val="正文文本 Char1"/>
    <w:link w:val="721"/>
    <w:uiPriority w:val="99"/>
    <w:qFormat/>
    <w:rPr>
      <w:rFonts w:ascii="Times New Roman" w:hAnsi="Times New Roman" w:eastAsia="宋体" w:cs="Times New Roman"/>
      <w:sz w:val="24"/>
      <w:szCs w:val="24"/>
    </w:rPr>
  </w:style>
  <w:style w:type="character" w:styleId="753" w:customStyle="1">
    <w:name w:val="正文文本缩进 3 Char1"/>
    <w:link w:val="733"/>
    <w:uiPriority w:val="99"/>
    <w:qFormat/>
    <w:rPr>
      <w:rFonts w:ascii="Arial" w:hAnsi="Arial" w:eastAsia="仿宋_GB2312"/>
      <w:color w:val="ffff00"/>
      <w:sz w:val="32"/>
    </w:rPr>
  </w:style>
  <w:style w:type="paragraph" w:styleId="754" w:customStyle="1">
    <w:name w:val="WPS Plain"/>
    <w:qFormat/>
  </w:style>
  <w:style w:type="character" w:styleId="755" w:customStyle="1">
    <w:name w:val="页眉 Char"/>
    <w:basedOn w:val="713"/>
    <w:link w:val="731"/>
    <w:uiPriority w:val="99"/>
    <w:qFormat/>
    <w:rPr>
      <w:rFonts w:ascii="Times New Roman" w:hAnsi="Times New Roman" w:eastAsia="宋体" w:cs="Times New Roman"/>
      <w:sz w:val="18"/>
      <w:szCs w:val="18"/>
    </w:rPr>
  </w:style>
  <w:style w:type="character" w:styleId="756" w:customStyle="1">
    <w:name w:val="页脚 Char"/>
    <w:basedOn w:val="713"/>
    <w:link w:val="729"/>
    <w:uiPriority w:val="99"/>
    <w:qFormat/>
    <w:rPr>
      <w:rFonts w:ascii="Times New Roman" w:hAnsi="Times New Roman" w:eastAsia="宋体" w:cs="Times New Roman"/>
      <w:sz w:val="18"/>
      <w:szCs w:val="18"/>
    </w:rPr>
  </w:style>
  <w:style w:type="character" w:styleId="757" w:customStyle="1">
    <w:name w:val="批注框文本 Char"/>
    <w:basedOn w:val="713"/>
    <w:link w:val="728"/>
    <w:uiPriority w:val="99"/>
    <w:semiHidden/>
    <w:qFormat/>
    <w:rPr>
      <w:rFonts w:ascii="Times New Roman" w:hAnsi="Times New Roman" w:eastAsia="宋体" w:cs="Times New Roman"/>
      <w:sz w:val="18"/>
      <w:szCs w:val="18"/>
    </w:rPr>
  </w:style>
  <w:style w:type="character" w:styleId="758" w:customStyle="1">
    <w:name w:val="文档结构图 Char"/>
    <w:basedOn w:val="713"/>
    <w:link w:val="719"/>
    <w:uiPriority w:val="99"/>
    <w:qFormat/>
    <w:rPr>
      <w:rFonts w:ascii="宋体" w:hAnsi="Times New Roman" w:eastAsia="宋体" w:cs="Times New Roman"/>
      <w:sz w:val="18"/>
      <w:szCs w:val="18"/>
    </w:rPr>
  </w:style>
  <w:style w:type="character" w:styleId="759" w:customStyle="1">
    <w:name w:val="批注文字 Char"/>
    <w:basedOn w:val="713"/>
    <w:link w:val="720"/>
    <w:uiPriority w:val="99"/>
    <w:qFormat/>
    <w:rPr>
      <w:rFonts w:ascii="Times New Roman" w:hAnsi="Times New Roman" w:eastAsia="宋体" w:cs="Times New Roman"/>
      <w:sz w:val="24"/>
      <w:szCs w:val="24"/>
    </w:rPr>
  </w:style>
  <w:style w:type="character" w:styleId="760" w:customStyle="1">
    <w:name w:val="批注主题 Char"/>
    <w:basedOn w:val="759"/>
    <w:link w:val="736"/>
    <w:uiPriority w:val="99"/>
    <w:semiHidden/>
    <w:qFormat/>
    <w:rPr>
      <w:rFonts w:ascii="Times New Roman" w:hAnsi="Times New Roman" w:eastAsia="宋体" w:cs="Times New Roman"/>
      <w:b/>
      <w:bCs/>
      <w:sz w:val="24"/>
      <w:szCs w:val="24"/>
    </w:rPr>
  </w:style>
  <w:style w:type="paragraph" w:styleId="761" w:customStyle="1">
    <w:name w:val="正文首行缩进2字符"/>
    <w:basedOn w:val="708"/>
    <w:qFormat/>
    <w:pPr>
      <w:ind w:firstLine="482"/>
    </w:pPr>
  </w:style>
  <w:style w:type="character" w:styleId="762" w:customStyle="1">
    <w:name w:val="current"/>
    <w:basedOn w:val="713"/>
    <w:qFormat/>
    <w:rPr>
      <w:b/>
      <w:bCs/>
      <w:color w:val="05a7d8"/>
      <w:sz w:val="18"/>
      <w:szCs w:val="18"/>
    </w:rPr>
  </w:style>
  <w:style w:type="character" w:styleId="763" w:customStyle="1">
    <w:name w:val="l-btn-left"/>
    <w:basedOn w:val="713"/>
    <w:qFormat/>
  </w:style>
  <w:style w:type="character" w:styleId="764" w:customStyle="1">
    <w:name w:val="l-btn-text36"/>
    <w:basedOn w:val="713"/>
    <w:qFormat/>
  </w:style>
  <w:style w:type="character" w:styleId="765" w:customStyle="1">
    <w:name w:val="l-btn-text"/>
    <w:basedOn w:val="713"/>
    <w:qFormat/>
  </w:style>
  <w:style w:type="character" w:styleId="766" w:customStyle="1">
    <w:name w:val="grame"/>
    <w:basedOn w:val="713"/>
    <w:qFormat/>
  </w:style>
  <w:style w:type="paragraph" w:styleId="767" w:customStyle="1">
    <w:name w:val="标准文本"/>
    <w:basedOn w:val="708"/>
    <w:qFormat/>
    <w:pPr>
      <w:ind w:firstLine="480"/>
      <w:spacing w:line="360" w:lineRule="auto"/>
    </w:pPr>
    <w:rPr>
      <w:rFonts w:cs="宋体"/>
      <w:szCs w:val="20"/>
    </w:rPr>
  </w:style>
  <w:style w:type="paragraph" w:styleId="768" w:customStyle="1">
    <w:name w:val="_Style 3"/>
    <w:uiPriority w:val="1"/>
    <w:qFormat/>
    <w:pPr>
      <w:jc w:val="both"/>
      <w:widowControl w:val="off"/>
    </w:pPr>
    <w:rPr>
      <w:rFonts w:ascii="Calibri" w:hAnsi="Calibri"/>
      <w:sz w:val="21"/>
      <w:szCs w:val="22"/>
    </w:rPr>
  </w:style>
  <w:style w:type="paragraph" w:styleId="769" w:customStyle="1">
    <w:name w:val="普通正文"/>
    <w:basedOn w:val="708"/>
    <w:qFormat/>
    <w:pPr>
      <w:ind w:firstLine="480"/>
      <w:jc w:val="left"/>
      <w:spacing w:before="120" w:after="120" w:line="360" w:lineRule="auto"/>
    </w:pPr>
    <w:rPr>
      <w:rFonts w:ascii="Arial" w:hAnsi="Arial"/>
    </w:rPr>
  </w:style>
  <w:style w:type="paragraph" w:styleId="770" w:customStyle="1">
    <w:name w:val="（符号）三标题1.1"/>
    <w:basedOn w:val="708"/>
    <w:qFormat/>
    <w:pPr>
      <w:numPr>
        <w:ilvl w:val="1"/>
        <w:numId w:val="1"/>
      </w:numPr>
      <w:spacing w:line="500" w:lineRule="exact"/>
      <w:tabs>
        <w:tab w:val="left" w:pos="700" w:leader="none"/>
      </w:tabs>
    </w:pPr>
  </w:style>
  <w:style w:type="character" w:styleId="771" w:customStyle="1">
    <w:name w:val="NormalCharacter"/>
    <w:uiPriority w:val="99"/>
    <w:qFormat/>
    <w:rPr>
      <w:sz w:val="21"/>
      <w:szCs w:val="22"/>
      <w:lang w:val="en-US" w:eastAsia="zh-CN" w:bidi="ar-SA"/>
    </w:rPr>
  </w:style>
  <w:style w:type="paragraph" w:styleId="772" w:customStyle="1">
    <w:name w:val="Table Paragraph"/>
    <w:basedOn w:val="708"/>
    <w:uiPriority w:val="1"/>
    <w:qFormat/>
  </w:style>
  <w:style w:type="paragraph" w:styleId="773" w:customStyle="1">
    <w:name w:val="UserStyle_0"/>
    <w:basedOn w:val="708"/>
    <w:qFormat/>
    <w:pPr>
      <w:ind w:firstLine="420"/>
    </w:pPr>
    <w:rPr>
      <w:szCs w:val="21"/>
    </w:rPr>
  </w:style>
  <w:style w:type="paragraph" w:styleId="774" w:customStyle="1">
    <w:name w:val="p0"/>
    <w:basedOn w:val="708"/>
    <w:qFormat/>
    <w:pPr>
      <w:widowControl/>
    </w:pPr>
    <w:rPr>
      <w:szCs w:val="21"/>
    </w:rPr>
  </w:style>
  <w:style w:type="paragraph" w:styleId="775" w:customStyle="1">
    <w:name w:val="p16"/>
    <w:basedOn w:val="708"/>
    <w:qFormat/>
    <w:pPr>
      <w:ind w:firstLine="420"/>
      <w:jc w:val="left"/>
      <w:spacing w:after="200"/>
      <w:widowControl/>
    </w:pPr>
    <w:rPr>
      <w:rFonts w:ascii="Tahoma" w:hAnsi="Tahoma" w:cs="Tahoma"/>
      <w:sz w:val="22"/>
    </w:rPr>
  </w:style>
  <w:style w:type="paragraph" w:styleId="776" w:customStyle="1">
    <w:name w:val="目录 51"/>
    <w:basedOn w:val="708"/>
    <w:next w:val="708"/>
    <w:uiPriority w:val="99"/>
    <w:qFormat/>
    <w:pPr>
      <w:ind w:left="800"/>
    </w:pPr>
    <w:rPr>
      <w:rFonts w:ascii="Calibri" w:hAnsi="Calibri"/>
      <w:szCs w:val="22"/>
    </w:rPr>
  </w:style>
  <w:style w:type="paragraph" w:styleId="777" w:customStyle="1">
    <w:name w:val="Body text|1"/>
    <w:basedOn w:val="708"/>
    <w:qFormat/>
    <w:pPr>
      <w:ind w:firstLine="400"/>
      <w:jc w:val="left"/>
      <w:spacing w:after="200" w:line="410" w:lineRule="auto"/>
      <w:widowControl/>
    </w:pPr>
    <w:rPr>
      <w:rFonts w:ascii="宋体" w:hAnsi="宋体" w:cs="宋体"/>
      <w:sz w:val="22"/>
      <w:szCs w:val="22"/>
      <w:lang w:val="zh-TW" w:eastAsia="zh-TW" w:bidi="zh-TW"/>
    </w:rPr>
  </w:style>
  <w:style w:type="table" w:styleId="778" w:customStyle="1">
    <w:name w:val="Table Normal"/>
    <w:unhideWhenUsed/>
    <w:qFormat/>
    <w:rPr>
      <w:rFonts w:ascii="Calibri" w:hAnsi="Calibri"/>
    </w:rPr>
    <w:tblPr>
      <w:tblCellMar>
        <w:left w:w="0" w:type="dxa"/>
        <w:top w:w="0" w:type="dxa"/>
        <w:right w:w="0" w:type="dxa"/>
        <w:bottom w:w="0" w:type="dxa"/>
      </w:tblCellMar>
    </w:tblPr>
  </w:style>
  <w:style w:type="paragraph" w:styleId="779" w:customStyle="1">
    <w:name w:val="Table Text"/>
    <w:basedOn w:val="708"/>
    <w:semiHidden/>
    <w:qFormat/>
    <w:rPr>
      <w:rFonts w:ascii="宋体" w:hAnsi="宋体" w:cs="宋体"/>
    </w:rPr>
  </w:style>
  <w:style w:type="character" w:styleId="780" w:customStyle="1">
    <w:name w:val="wyg1"/>
    <w:uiPriority w:val="6"/>
    <w:qFormat/>
    <w:rPr>
      <w:rFonts w:ascii="Times New Roman" w:hAnsi="Times New Roman" w:eastAsia="宋体" w:cs="Times New Roman"/>
      <w:lang w:val="en-US" w:eastAsia="zh-CN" w:bidi="ar-SA"/>
    </w:rPr>
  </w:style>
  <w:style w:type="paragraph" w:styleId="781" w:customStyle="1">
    <w:name w:val="正文11"/>
    <w:next w:val="782"/>
    <w:qFormat/>
    <w:pPr>
      <w:jc w:val="both"/>
      <w:widowControl w:val="off"/>
    </w:pPr>
    <w:rPr>
      <w:sz w:val="21"/>
      <w:szCs w:val="24"/>
    </w:rPr>
  </w:style>
  <w:style w:type="paragraph" w:styleId="782" w:customStyle="1">
    <w:name w:val="目录 11"/>
    <w:basedOn w:val="783"/>
    <w:next w:val="781"/>
    <w:qFormat/>
  </w:style>
  <w:style w:type="paragraph" w:styleId="783" w:customStyle="1">
    <w:name w:val="正文12"/>
    <w:next w:val="784"/>
    <w:qFormat/>
    <w:pPr>
      <w:ind w:firstLine="723"/>
      <w:jc w:val="both"/>
      <w:spacing w:line="360" w:lineRule="auto"/>
      <w:widowControl w:val="off"/>
    </w:pPr>
    <w:rPr>
      <w:sz w:val="24"/>
      <w:szCs w:val="24"/>
    </w:rPr>
  </w:style>
  <w:style w:type="paragraph" w:styleId="784" w:customStyle="1">
    <w:name w:val="脚注文本1"/>
    <w:basedOn w:val="785"/>
    <w:next w:val="787"/>
    <w:qFormat/>
    <w:pPr>
      <w:jc w:val="left"/>
    </w:pPr>
    <w:rPr>
      <w:rFonts w:ascii="宋体" w:eastAsia="Times New Roman"/>
      <w:sz w:val="18"/>
      <w:szCs w:val="18"/>
    </w:rPr>
  </w:style>
  <w:style w:type="paragraph" w:styleId="785" w:customStyle="1">
    <w:name w:val="正文1111"/>
    <w:next w:val="786"/>
    <w:qFormat/>
    <w:pPr>
      <w:jc w:val="both"/>
      <w:widowControl w:val="off"/>
    </w:pPr>
    <w:rPr>
      <w:sz w:val="21"/>
      <w:szCs w:val="24"/>
    </w:rPr>
  </w:style>
  <w:style w:type="paragraph" w:styleId="786" w:customStyle="1">
    <w:name w:val="文本块11"/>
    <w:basedOn w:val="708"/>
    <w:unhideWhenUsed/>
    <w:qFormat/>
    <w:pPr>
      <w:ind w:left="1440" w:right="1440"/>
      <w:spacing w:after="120"/>
    </w:pPr>
  </w:style>
  <w:style w:type="paragraph" w:styleId="787" w:customStyle="1">
    <w:name w:val="索引 51"/>
    <w:basedOn w:val="788"/>
    <w:next w:val="788"/>
    <w:qFormat/>
    <w:pPr>
      <w:ind w:left="798"/>
      <w:jc w:val="left"/>
    </w:pPr>
    <w:rPr>
      <w:rFonts w:ascii="Calibri" w:hAnsi="Calibri"/>
    </w:rPr>
  </w:style>
  <w:style w:type="paragraph" w:styleId="788" w:customStyle="1">
    <w:name w:val="正文1"/>
    <w:basedOn w:val="789"/>
    <w:next w:val="790"/>
    <w:qFormat/>
  </w:style>
  <w:style w:type="paragraph" w:styleId="789" w:customStyle="1">
    <w:name w:val="正文111"/>
    <w:next w:val="790"/>
    <w:qFormat/>
    <w:pPr>
      <w:jc w:val="both"/>
      <w:widowControl w:val="off"/>
    </w:pPr>
    <w:rPr>
      <w:sz w:val="21"/>
      <w:szCs w:val="24"/>
    </w:rPr>
  </w:style>
  <w:style w:type="paragraph" w:styleId="790" w:customStyle="1">
    <w:name w:val="正文文本1"/>
    <w:basedOn w:val="781"/>
    <w:next w:val="788"/>
    <w:qFormat/>
    <w:pPr>
      <w:spacing w:after="120"/>
    </w:pPr>
    <w:rPr>
      <w:rFonts w:ascii="Calibri" w:hAnsi="Calibri"/>
    </w:rPr>
  </w:style>
  <w:style w:type="paragraph" w:styleId="791" w:customStyle="1">
    <w:name w:val="普通(网站)1"/>
    <w:basedOn w:val="708"/>
    <w:qFormat/>
    <w:pPr>
      <w:jc w:val="left"/>
      <w:spacing w:before="100" w:beforeAutospacing="1" w:after="100" w:afterAutospacing="1"/>
      <w:widowControl/>
    </w:pPr>
    <w:rPr>
      <w:rFonts w:ascii="宋体" w:hAnsi="宋体" w:cs="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郁琴</cp:lastModifiedBy>
  <cp:revision>136</cp:revision>
  <dcterms:created xsi:type="dcterms:W3CDTF">2022-12-29T07:08:00Z</dcterms:created>
  <dcterms:modified xsi:type="dcterms:W3CDTF">2026-05-07T06:25:14Z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3C6A6AD3A33849C0ADF2816709B2506E_13</vt:lpwstr>
  </property>
  <property fmtid="{D5CDD505-2E9C-101B-9397-08002B2CF9AE}" pid="4" name="KSOTemplateDocerSaveRecord">
    <vt:lpwstr>eyJoZGlkIjoiMGI3YjRiZjQzNzgzNDU4NDg2ODg5ZDg5ZWIzZTU0MTUiLCJ1c2VySWQiOiI2Mjg1MjQ2MjIifQ==</vt:lpwstr>
  </property>
</Properties>
</file>